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Borders>
          <w:top w:val="single" w:sz="36" w:space="0" w:color="FFFFFF"/>
        </w:tblBorders>
        <w:shd w:val="clear" w:color="auto" w:fill="FFFFFF"/>
        <w:tblCellMar>
          <w:left w:w="0" w:type="dxa"/>
          <w:right w:w="0" w:type="dxa"/>
        </w:tblCellMar>
        <w:tblLook w:val="04A0"/>
      </w:tblPr>
      <w:tblGrid>
        <w:gridCol w:w="9450"/>
      </w:tblGrid>
      <w:tr w:rsidR="000E6505" w:rsidRPr="000E6505" w:rsidTr="000E6505">
        <w:trPr>
          <w:tblCellSpacing w:w="15" w:type="dxa"/>
        </w:trPr>
        <w:tc>
          <w:tcPr>
            <w:tcW w:w="0" w:type="auto"/>
            <w:shd w:val="clear" w:color="auto" w:fill="FFFFFF"/>
            <w:tcMar>
              <w:top w:w="15" w:type="dxa"/>
              <w:left w:w="15" w:type="dxa"/>
              <w:bottom w:w="15" w:type="dxa"/>
              <w:right w:w="15" w:type="dxa"/>
            </w:tcMar>
            <w:hideMark/>
          </w:tcPr>
          <w:p w:rsidR="000E6505" w:rsidRPr="000E6505" w:rsidRDefault="000E6505" w:rsidP="000E6505">
            <w:pPr>
              <w:spacing w:before="200" w:after="100" w:line="240" w:lineRule="auto"/>
              <w:outlineLvl w:val="1"/>
              <w:rPr>
                <w:rFonts w:ascii="Arial" w:eastAsia="Times New Roman" w:hAnsi="Arial" w:cs="Arial"/>
                <w:b/>
                <w:bCs/>
                <w:sz w:val="27"/>
                <w:szCs w:val="27"/>
              </w:rPr>
            </w:pPr>
            <w:r w:rsidRPr="000E6505">
              <w:rPr>
                <w:rFonts w:ascii="Arial" w:eastAsia="Times New Roman" w:hAnsi="Arial" w:cs="Arial"/>
                <w:b/>
                <w:bCs/>
                <w:sz w:val="27"/>
                <w:szCs w:val="27"/>
              </w:rPr>
              <w:t>Subpart AAAA—Standards of Performance for Small Municipal Waste Combustion Units for Which Construction is Commenced After August 30, 1999 or for Which Modification or Reconstruction is Commenced After June 6, 2001</w:t>
            </w:r>
          </w:p>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pict>
                <v:rect id="_x0000_i1025" style="width:0;height:1.5pt" o:hrstd="t" o:hr="t" fillcolor="#aca899" stroked="f"/>
              </w:pict>
            </w:r>
          </w:p>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b/>
                <w:bCs/>
                <w:sz w:val="20"/>
              </w:rPr>
              <w:t>Contents</w:t>
            </w:r>
          </w:p>
          <w:p w:rsidR="000E6505" w:rsidRPr="000E6505" w:rsidRDefault="000E6505" w:rsidP="000E6505">
            <w:pPr>
              <w:spacing w:after="100" w:afterAutospacing="1" w:line="240" w:lineRule="auto"/>
              <w:rPr>
                <w:rFonts w:ascii="Arial" w:eastAsia="Times New Roman" w:hAnsi="Arial" w:cs="Arial"/>
                <w:smallCaps/>
                <w:sz w:val="20"/>
              </w:rPr>
            </w:pPr>
            <w:hyperlink r:id="rId4" w:anchor="40:7.0.1.1.1.90.151" w:history="1">
              <w:r w:rsidRPr="000E6505">
                <w:rPr>
                  <w:rFonts w:ascii="Arial" w:eastAsia="Times New Roman" w:hAnsi="Arial" w:cs="Arial"/>
                  <w:smallCaps/>
                  <w:color w:val="0000FF"/>
                  <w:sz w:val="17"/>
                </w:rPr>
                <w:t>Introduction</w:t>
              </w:r>
            </w:hyperlink>
          </w:p>
          <w:p w:rsidR="000E6505" w:rsidRPr="000E6505" w:rsidRDefault="000E6505" w:rsidP="000E6505">
            <w:pPr>
              <w:spacing w:after="0" w:line="240" w:lineRule="auto"/>
              <w:rPr>
                <w:rFonts w:ascii="Arial" w:eastAsia="Times New Roman" w:hAnsi="Arial" w:cs="Arial"/>
                <w:sz w:val="20"/>
              </w:rPr>
            </w:pPr>
            <w:hyperlink r:id="rId5" w:anchor="40:7.0.1.1.1.90.151.1" w:history="1">
              <w:r w:rsidRPr="000E6505">
                <w:rPr>
                  <w:rFonts w:ascii="Arial" w:eastAsia="Times New Roman" w:hAnsi="Arial" w:cs="Arial"/>
                  <w:color w:val="0000FF"/>
                  <w:sz w:val="17"/>
                </w:rPr>
                <w:t>§60.1000   What does this subpart do?</w:t>
              </w:r>
            </w:hyperlink>
            <w:r w:rsidRPr="000E6505">
              <w:rPr>
                <w:rFonts w:ascii="Arial" w:eastAsia="Times New Roman" w:hAnsi="Arial" w:cs="Arial"/>
                <w:sz w:val="20"/>
              </w:rPr>
              <w:br/>
            </w:r>
            <w:hyperlink r:id="rId6" w:anchor="40:7.0.1.1.1.90.151.2" w:history="1">
              <w:r w:rsidRPr="000E6505">
                <w:rPr>
                  <w:rFonts w:ascii="Arial" w:eastAsia="Times New Roman" w:hAnsi="Arial" w:cs="Arial"/>
                  <w:color w:val="0000FF"/>
                  <w:sz w:val="17"/>
                </w:rPr>
                <w:t>§60.1005   When does this subpart become effective?</w:t>
              </w:r>
            </w:hyperlink>
          </w:p>
          <w:p w:rsidR="000E6505" w:rsidRPr="000E6505" w:rsidRDefault="000E6505" w:rsidP="000E6505">
            <w:pPr>
              <w:spacing w:after="100" w:afterAutospacing="1" w:line="240" w:lineRule="auto"/>
              <w:rPr>
                <w:rFonts w:ascii="Arial" w:eastAsia="Times New Roman" w:hAnsi="Arial" w:cs="Arial"/>
                <w:smallCaps/>
                <w:sz w:val="20"/>
              </w:rPr>
            </w:pPr>
            <w:hyperlink r:id="rId7" w:anchor="40:7.0.1.1.1.90.152" w:history="1">
              <w:r w:rsidRPr="000E6505">
                <w:rPr>
                  <w:rFonts w:ascii="Arial" w:eastAsia="Times New Roman" w:hAnsi="Arial" w:cs="Arial"/>
                  <w:smallCaps/>
                  <w:color w:val="0000FF"/>
                  <w:sz w:val="17"/>
                </w:rPr>
                <w:t>Applicability</w:t>
              </w:r>
            </w:hyperlink>
          </w:p>
          <w:p w:rsidR="000E6505" w:rsidRPr="000E6505" w:rsidRDefault="000E6505" w:rsidP="000E6505">
            <w:pPr>
              <w:spacing w:after="0" w:line="240" w:lineRule="auto"/>
              <w:rPr>
                <w:rFonts w:ascii="Arial" w:eastAsia="Times New Roman" w:hAnsi="Arial" w:cs="Arial"/>
                <w:sz w:val="20"/>
              </w:rPr>
            </w:pPr>
            <w:hyperlink r:id="rId8" w:anchor="40:7.0.1.1.1.90.152.3" w:history="1">
              <w:r w:rsidRPr="000E6505">
                <w:rPr>
                  <w:rFonts w:ascii="Arial" w:eastAsia="Times New Roman" w:hAnsi="Arial" w:cs="Arial"/>
                  <w:color w:val="0000FF"/>
                  <w:sz w:val="17"/>
                </w:rPr>
                <w:t>§60.1010   Does this subpart apply to my municipal waste combustion unit?</w:t>
              </w:r>
            </w:hyperlink>
            <w:r w:rsidRPr="000E6505">
              <w:rPr>
                <w:rFonts w:ascii="Arial" w:eastAsia="Times New Roman" w:hAnsi="Arial" w:cs="Arial"/>
                <w:sz w:val="20"/>
              </w:rPr>
              <w:br/>
            </w:r>
            <w:hyperlink r:id="rId9" w:anchor="40:7.0.1.1.1.90.152.4" w:history="1">
              <w:r w:rsidRPr="000E6505">
                <w:rPr>
                  <w:rFonts w:ascii="Arial" w:eastAsia="Times New Roman" w:hAnsi="Arial" w:cs="Arial"/>
                  <w:color w:val="0000FF"/>
                  <w:sz w:val="17"/>
                </w:rPr>
                <w:t>§60.1015   What is a new municipal waste combustion unit?</w:t>
              </w:r>
            </w:hyperlink>
            <w:r w:rsidRPr="000E6505">
              <w:rPr>
                <w:rFonts w:ascii="Arial" w:eastAsia="Times New Roman" w:hAnsi="Arial" w:cs="Arial"/>
                <w:sz w:val="20"/>
              </w:rPr>
              <w:br/>
            </w:r>
            <w:hyperlink r:id="rId10" w:anchor="40:7.0.1.1.1.90.152.5" w:history="1">
              <w:r w:rsidRPr="000E6505">
                <w:rPr>
                  <w:rFonts w:ascii="Arial" w:eastAsia="Times New Roman" w:hAnsi="Arial" w:cs="Arial"/>
                  <w:color w:val="0000FF"/>
                  <w:sz w:val="17"/>
                </w:rPr>
                <w:t>§60.1020   Does this subpart allow any exemptions?</w:t>
              </w:r>
            </w:hyperlink>
            <w:r w:rsidRPr="000E6505">
              <w:rPr>
                <w:rFonts w:ascii="Arial" w:eastAsia="Times New Roman" w:hAnsi="Arial" w:cs="Arial"/>
                <w:sz w:val="20"/>
              </w:rPr>
              <w:br/>
            </w:r>
            <w:hyperlink r:id="rId11" w:anchor="40:7.0.1.1.1.90.152.6" w:history="1">
              <w:r w:rsidRPr="000E6505">
                <w:rPr>
                  <w:rFonts w:ascii="Arial" w:eastAsia="Times New Roman" w:hAnsi="Arial" w:cs="Arial"/>
                  <w:color w:val="0000FF"/>
                  <w:sz w:val="17"/>
                </w:rPr>
                <w:t>§60.1025   Do subpart E new source performance standards also apply to my municipal waste combustion unit?</w:t>
              </w:r>
            </w:hyperlink>
            <w:r w:rsidRPr="000E6505">
              <w:rPr>
                <w:rFonts w:ascii="Arial" w:eastAsia="Times New Roman" w:hAnsi="Arial" w:cs="Arial"/>
                <w:sz w:val="20"/>
              </w:rPr>
              <w:br/>
            </w:r>
            <w:hyperlink r:id="rId12" w:anchor="40:7.0.1.1.1.90.152.7" w:history="1">
              <w:r w:rsidRPr="000E6505">
                <w:rPr>
                  <w:rFonts w:ascii="Arial" w:eastAsia="Times New Roman" w:hAnsi="Arial" w:cs="Arial"/>
                  <w:color w:val="0000FF"/>
                  <w:sz w:val="17"/>
                </w:rPr>
                <w:t>§60.1030   Can the Administrator delegate authority to enforce these Federal new source performance standards to a State agency?</w:t>
              </w:r>
            </w:hyperlink>
            <w:r w:rsidRPr="000E6505">
              <w:rPr>
                <w:rFonts w:ascii="Arial" w:eastAsia="Times New Roman" w:hAnsi="Arial" w:cs="Arial"/>
                <w:sz w:val="20"/>
              </w:rPr>
              <w:br/>
            </w:r>
            <w:hyperlink r:id="rId13" w:anchor="40:7.0.1.1.1.90.152.8" w:history="1">
              <w:r w:rsidRPr="000E6505">
                <w:rPr>
                  <w:rFonts w:ascii="Arial" w:eastAsia="Times New Roman" w:hAnsi="Arial" w:cs="Arial"/>
                  <w:color w:val="0000FF"/>
                  <w:sz w:val="17"/>
                </w:rPr>
                <w:t>§60.1035   How are these new source performance standards structured?</w:t>
              </w:r>
            </w:hyperlink>
            <w:r w:rsidRPr="000E6505">
              <w:rPr>
                <w:rFonts w:ascii="Arial" w:eastAsia="Times New Roman" w:hAnsi="Arial" w:cs="Arial"/>
                <w:sz w:val="20"/>
              </w:rPr>
              <w:br/>
            </w:r>
            <w:hyperlink r:id="rId14" w:anchor="40:7.0.1.1.1.90.152.9" w:history="1">
              <w:r w:rsidRPr="000E6505">
                <w:rPr>
                  <w:rFonts w:ascii="Arial" w:eastAsia="Times New Roman" w:hAnsi="Arial" w:cs="Arial"/>
                  <w:color w:val="0000FF"/>
                  <w:sz w:val="17"/>
                </w:rPr>
                <w:t>§60.1040   Do all five components of these new source performance standards apply at the same time?</w:t>
              </w:r>
            </w:hyperlink>
            <w:r w:rsidRPr="000E6505">
              <w:rPr>
                <w:rFonts w:ascii="Arial" w:eastAsia="Times New Roman" w:hAnsi="Arial" w:cs="Arial"/>
                <w:sz w:val="20"/>
              </w:rPr>
              <w:br/>
            </w:r>
            <w:hyperlink r:id="rId15" w:anchor="40:7.0.1.1.1.90.152.10" w:history="1">
              <w:r w:rsidRPr="000E6505">
                <w:rPr>
                  <w:rFonts w:ascii="Arial" w:eastAsia="Times New Roman" w:hAnsi="Arial" w:cs="Arial"/>
                  <w:color w:val="0000FF"/>
                  <w:sz w:val="17"/>
                </w:rPr>
                <w:t>§60.1045   Are there different subcategories of small municipal waste combustion units within this subpart?</w:t>
              </w:r>
            </w:hyperlink>
          </w:p>
          <w:p w:rsidR="000E6505" w:rsidRPr="000E6505" w:rsidRDefault="000E6505" w:rsidP="000E6505">
            <w:pPr>
              <w:spacing w:after="100" w:afterAutospacing="1" w:line="240" w:lineRule="auto"/>
              <w:rPr>
                <w:rFonts w:ascii="Arial" w:eastAsia="Times New Roman" w:hAnsi="Arial" w:cs="Arial"/>
                <w:smallCaps/>
                <w:sz w:val="20"/>
              </w:rPr>
            </w:pPr>
            <w:hyperlink r:id="rId16" w:anchor="40:7.0.1.1.1.90.153" w:history="1">
              <w:r w:rsidRPr="000E6505">
                <w:rPr>
                  <w:rFonts w:ascii="Arial" w:eastAsia="Times New Roman" w:hAnsi="Arial" w:cs="Arial"/>
                  <w:smallCaps/>
                  <w:color w:val="0000FF"/>
                  <w:sz w:val="17"/>
                </w:rPr>
                <w:t>Preconstruction Requirements: Materials Separation Plan</w:t>
              </w:r>
            </w:hyperlink>
          </w:p>
          <w:p w:rsidR="000E6505" w:rsidRPr="000E6505" w:rsidRDefault="000E6505" w:rsidP="000E6505">
            <w:pPr>
              <w:spacing w:after="0" w:line="240" w:lineRule="auto"/>
              <w:rPr>
                <w:rFonts w:ascii="Arial" w:eastAsia="Times New Roman" w:hAnsi="Arial" w:cs="Arial"/>
                <w:sz w:val="20"/>
              </w:rPr>
            </w:pPr>
            <w:hyperlink r:id="rId17" w:anchor="40:7.0.1.1.1.90.153.11" w:history="1">
              <w:r w:rsidRPr="000E6505">
                <w:rPr>
                  <w:rFonts w:ascii="Arial" w:eastAsia="Times New Roman" w:hAnsi="Arial" w:cs="Arial"/>
                  <w:color w:val="0000FF"/>
                  <w:sz w:val="17"/>
                </w:rPr>
                <w:t>§60.1050   Who must submit a materials separation plan?</w:t>
              </w:r>
            </w:hyperlink>
            <w:r w:rsidRPr="000E6505">
              <w:rPr>
                <w:rFonts w:ascii="Arial" w:eastAsia="Times New Roman" w:hAnsi="Arial" w:cs="Arial"/>
                <w:sz w:val="20"/>
              </w:rPr>
              <w:br/>
            </w:r>
            <w:hyperlink r:id="rId18" w:anchor="40:7.0.1.1.1.90.153.12" w:history="1">
              <w:r w:rsidRPr="000E6505">
                <w:rPr>
                  <w:rFonts w:ascii="Arial" w:eastAsia="Times New Roman" w:hAnsi="Arial" w:cs="Arial"/>
                  <w:color w:val="0000FF"/>
                  <w:sz w:val="17"/>
                </w:rPr>
                <w:t>§60.1055   What is a materials separation plan?</w:t>
              </w:r>
            </w:hyperlink>
            <w:r w:rsidRPr="000E6505">
              <w:rPr>
                <w:rFonts w:ascii="Arial" w:eastAsia="Times New Roman" w:hAnsi="Arial" w:cs="Arial"/>
                <w:sz w:val="20"/>
              </w:rPr>
              <w:br/>
            </w:r>
            <w:hyperlink r:id="rId19" w:anchor="40:7.0.1.1.1.90.153.13" w:history="1">
              <w:r w:rsidRPr="000E6505">
                <w:rPr>
                  <w:rFonts w:ascii="Arial" w:eastAsia="Times New Roman" w:hAnsi="Arial" w:cs="Arial"/>
                  <w:color w:val="0000FF"/>
                  <w:sz w:val="17"/>
                </w:rPr>
                <w:t>§60.1060   What steps must I complete for my materials separation plan?</w:t>
              </w:r>
            </w:hyperlink>
            <w:r w:rsidRPr="000E6505">
              <w:rPr>
                <w:rFonts w:ascii="Arial" w:eastAsia="Times New Roman" w:hAnsi="Arial" w:cs="Arial"/>
                <w:sz w:val="20"/>
              </w:rPr>
              <w:br/>
            </w:r>
            <w:hyperlink r:id="rId20" w:anchor="40:7.0.1.1.1.90.153.14" w:history="1">
              <w:r w:rsidRPr="000E6505">
                <w:rPr>
                  <w:rFonts w:ascii="Arial" w:eastAsia="Times New Roman" w:hAnsi="Arial" w:cs="Arial"/>
                  <w:color w:val="0000FF"/>
                  <w:sz w:val="17"/>
                </w:rPr>
                <w:t>§60.1065   What must I include in my draft materials separation plan?</w:t>
              </w:r>
            </w:hyperlink>
            <w:r w:rsidRPr="000E6505">
              <w:rPr>
                <w:rFonts w:ascii="Arial" w:eastAsia="Times New Roman" w:hAnsi="Arial" w:cs="Arial"/>
                <w:sz w:val="20"/>
              </w:rPr>
              <w:br/>
            </w:r>
            <w:hyperlink r:id="rId21" w:anchor="40:7.0.1.1.1.90.153.15" w:history="1">
              <w:r w:rsidRPr="000E6505">
                <w:rPr>
                  <w:rFonts w:ascii="Arial" w:eastAsia="Times New Roman" w:hAnsi="Arial" w:cs="Arial"/>
                  <w:color w:val="0000FF"/>
                  <w:sz w:val="17"/>
                </w:rPr>
                <w:t>§60.1070   How do I make my draft materials separation plan available to the public?</w:t>
              </w:r>
            </w:hyperlink>
            <w:r w:rsidRPr="000E6505">
              <w:rPr>
                <w:rFonts w:ascii="Arial" w:eastAsia="Times New Roman" w:hAnsi="Arial" w:cs="Arial"/>
                <w:sz w:val="20"/>
              </w:rPr>
              <w:br/>
            </w:r>
            <w:hyperlink r:id="rId22" w:anchor="40:7.0.1.1.1.90.153.16" w:history="1">
              <w:r w:rsidRPr="000E6505">
                <w:rPr>
                  <w:rFonts w:ascii="Arial" w:eastAsia="Times New Roman" w:hAnsi="Arial" w:cs="Arial"/>
                  <w:color w:val="0000FF"/>
                  <w:sz w:val="17"/>
                </w:rPr>
                <w:t>§60.1075   When must I accept comments on the materials separation plan?</w:t>
              </w:r>
            </w:hyperlink>
            <w:r w:rsidRPr="000E6505">
              <w:rPr>
                <w:rFonts w:ascii="Arial" w:eastAsia="Times New Roman" w:hAnsi="Arial" w:cs="Arial"/>
                <w:sz w:val="20"/>
              </w:rPr>
              <w:br/>
            </w:r>
            <w:hyperlink r:id="rId23" w:anchor="40:7.0.1.1.1.90.153.17" w:history="1">
              <w:r w:rsidRPr="000E6505">
                <w:rPr>
                  <w:rFonts w:ascii="Arial" w:eastAsia="Times New Roman" w:hAnsi="Arial" w:cs="Arial"/>
                  <w:color w:val="0000FF"/>
                  <w:sz w:val="17"/>
                </w:rPr>
                <w:t>§60.1080   Where and when must I hold a public meeting on my draft materials separation plan?</w:t>
              </w:r>
            </w:hyperlink>
            <w:r w:rsidRPr="000E6505">
              <w:rPr>
                <w:rFonts w:ascii="Arial" w:eastAsia="Times New Roman" w:hAnsi="Arial" w:cs="Arial"/>
                <w:sz w:val="20"/>
              </w:rPr>
              <w:br/>
            </w:r>
            <w:hyperlink r:id="rId24" w:anchor="40:7.0.1.1.1.90.153.18" w:history="1">
              <w:r w:rsidRPr="000E6505">
                <w:rPr>
                  <w:rFonts w:ascii="Arial" w:eastAsia="Times New Roman" w:hAnsi="Arial" w:cs="Arial"/>
                  <w:color w:val="0000FF"/>
                  <w:sz w:val="17"/>
                </w:rPr>
                <w:t>§60.1085   What must I do with any public comments I receive during the public comment period on my draft materials separation plan?</w:t>
              </w:r>
            </w:hyperlink>
            <w:r w:rsidRPr="000E6505">
              <w:rPr>
                <w:rFonts w:ascii="Arial" w:eastAsia="Times New Roman" w:hAnsi="Arial" w:cs="Arial"/>
                <w:sz w:val="20"/>
              </w:rPr>
              <w:br/>
            </w:r>
            <w:hyperlink r:id="rId25" w:anchor="40:7.0.1.1.1.90.153.19" w:history="1">
              <w:r w:rsidRPr="000E6505">
                <w:rPr>
                  <w:rFonts w:ascii="Arial" w:eastAsia="Times New Roman" w:hAnsi="Arial" w:cs="Arial"/>
                  <w:color w:val="0000FF"/>
                  <w:sz w:val="17"/>
                </w:rPr>
                <w:t>§60.1090   What must I do with my revised materials separation plan?</w:t>
              </w:r>
            </w:hyperlink>
            <w:r w:rsidRPr="000E6505">
              <w:rPr>
                <w:rFonts w:ascii="Arial" w:eastAsia="Times New Roman" w:hAnsi="Arial" w:cs="Arial"/>
                <w:sz w:val="20"/>
              </w:rPr>
              <w:br/>
            </w:r>
            <w:hyperlink r:id="rId26" w:anchor="40:7.0.1.1.1.90.153.20" w:history="1">
              <w:r w:rsidRPr="000E6505">
                <w:rPr>
                  <w:rFonts w:ascii="Arial" w:eastAsia="Times New Roman" w:hAnsi="Arial" w:cs="Arial"/>
                  <w:color w:val="0000FF"/>
                  <w:sz w:val="17"/>
                </w:rPr>
                <w:t>§60.1095   What must I include in the public meeting on my revised materials separation plan?</w:t>
              </w:r>
            </w:hyperlink>
            <w:r w:rsidRPr="000E6505">
              <w:rPr>
                <w:rFonts w:ascii="Arial" w:eastAsia="Times New Roman" w:hAnsi="Arial" w:cs="Arial"/>
                <w:sz w:val="20"/>
              </w:rPr>
              <w:br/>
            </w:r>
            <w:hyperlink r:id="rId27" w:anchor="40:7.0.1.1.1.90.153.21" w:history="1">
              <w:r w:rsidRPr="000E6505">
                <w:rPr>
                  <w:rFonts w:ascii="Arial" w:eastAsia="Times New Roman" w:hAnsi="Arial" w:cs="Arial"/>
                  <w:color w:val="0000FF"/>
                  <w:sz w:val="17"/>
                </w:rPr>
                <w:t>§60.1100   What must I do with any public comments I receive on my revised materials separation plan?</w:t>
              </w:r>
            </w:hyperlink>
            <w:r w:rsidRPr="000E6505">
              <w:rPr>
                <w:rFonts w:ascii="Arial" w:eastAsia="Times New Roman" w:hAnsi="Arial" w:cs="Arial"/>
                <w:sz w:val="20"/>
              </w:rPr>
              <w:br/>
            </w:r>
            <w:hyperlink r:id="rId28" w:anchor="40:7.0.1.1.1.90.153.22" w:history="1">
              <w:r w:rsidRPr="000E6505">
                <w:rPr>
                  <w:rFonts w:ascii="Arial" w:eastAsia="Times New Roman" w:hAnsi="Arial" w:cs="Arial"/>
                  <w:color w:val="0000FF"/>
                  <w:sz w:val="17"/>
                </w:rPr>
                <w:t>§60.1105   How do I submit my final materials separation plan?</w:t>
              </w:r>
            </w:hyperlink>
          </w:p>
          <w:p w:rsidR="000E6505" w:rsidRPr="000E6505" w:rsidRDefault="000E6505" w:rsidP="000E6505">
            <w:pPr>
              <w:spacing w:after="100" w:afterAutospacing="1" w:line="240" w:lineRule="auto"/>
              <w:rPr>
                <w:rFonts w:ascii="Arial" w:eastAsia="Times New Roman" w:hAnsi="Arial" w:cs="Arial"/>
                <w:smallCaps/>
                <w:sz w:val="20"/>
              </w:rPr>
            </w:pPr>
            <w:hyperlink r:id="rId29" w:anchor="40:7.0.1.1.1.90.154" w:history="1">
              <w:r w:rsidRPr="000E6505">
                <w:rPr>
                  <w:rFonts w:ascii="Arial" w:eastAsia="Times New Roman" w:hAnsi="Arial" w:cs="Arial"/>
                  <w:smallCaps/>
                  <w:color w:val="0000FF"/>
                  <w:sz w:val="17"/>
                </w:rPr>
                <w:t>Preconstruction Requirements: Siting Analysis</w:t>
              </w:r>
            </w:hyperlink>
          </w:p>
          <w:p w:rsidR="000E6505" w:rsidRPr="000E6505" w:rsidRDefault="000E6505" w:rsidP="000E6505">
            <w:pPr>
              <w:spacing w:after="0" w:line="240" w:lineRule="auto"/>
              <w:rPr>
                <w:rFonts w:ascii="Arial" w:eastAsia="Times New Roman" w:hAnsi="Arial" w:cs="Arial"/>
                <w:sz w:val="20"/>
              </w:rPr>
            </w:pPr>
            <w:hyperlink r:id="rId30" w:anchor="40:7.0.1.1.1.90.154.23" w:history="1">
              <w:r w:rsidRPr="000E6505">
                <w:rPr>
                  <w:rFonts w:ascii="Arial" w:eastAsia="Times New Roman" w:hAnsi="Arial" w:cs="Arial"/>
                  <w:color w:val="0000FF"/>
                  <w:sz w:val="17"/>
                </w:rPr>
                <w:t>§60.1110   Who must submit a siting analysis?</w:t>
              </w:r>
            </w:hyperlink>
            <w:r w:rsidRPr="000E6505">
              <w:rPr>
                <w:rFonts w:ascii="Arial" w:eastAsia="Times New Roman" w:hAnsi="Arial" w:cs="Arial"/>
                <w:sz w:val="20"/>
              </w:rPr>
              <w:br/>
            </w:r>
            <w:hyperlink r:id="rId31" w:anchor="40:7.0.1.1.1.90.154.24" w:history="1">
              <w:r w:rsidRPr="000E6505">
                <w:rPr>
                  <w:rFonts w:ascii="Arial" w:eastAsia="Times New Roman" w:hAnsi="Arial" w:cs="Arial"/>
                  <w:color w:val="0000FF"/>
                  <w:sz w:val="17"/>
                </w:rPr>
                <w:t>§60.1115   What is a siting analysis?</w:t>
              </w:r>
            </w:hyperlink>
            <w:r w:rsidRPr="000E6505">
              <w:rPr>
                <w:rFonts w:ascii="Arial" w:eastAsia="Times New Roman" w:hAnsi="Arial" w:cs="Arial"/>
                <w:sz w:val="20"/>
              </w:rPr>
              <w:br/>
            </w:r>
            <w:hyperlink r:id="rId32" w:anchor="40:7.0.1.1.1.90.154.25" w:history="1">
              <w:r w:rsidRPr="000E6505">
                <w:rPr>
                  <w:rFonts w:ascii="Arial" w:eastAsia="Times New Roman" w:hAnsi="Arial" w:cs="Arial"/>
                  <w:color w:val="0000FF"/>
                  <w:sz w:val="17"/>
                </w:rPr>
                <w:t>§60.1120   What steps must I complete for my siting analysis?</w:t>
              </w:r>
            </w:hyperlink>
            <w:r w:rsidRPr="000E6505">
              <w:rPr>
                <w:rFonts w:ascii="Arial" w:eastAsia="Times New Roman" w:hAnsi="Arial" w:cs="Arial"/>
                <w:sz w:val="20"/>
              </w:rPr>
              <w:br/>
            </w:r>
            <w:hyperlink r:id="rId33" w:anchor="40:7.0.1.1.1.90.154.26" w:history="1">
              <w:r w:rsidRPr="000E6505">
                <w:rPr>
                  <w:rFonts w:ascii="Arial" w:eastAsia="Times New Roman" w:hAnsi="Arial" w:cs="Arial"/>
                  <w:color w:val="0000FF"/>
                  <w:sz w:val="17"/>
                </w:rPr>
                <w:t>§60.1125   What must I include in my siting analysis?</w:t>
              </w:r>
            </w:hyperlink>
            <w:r w:rsidRPr="000E6505">
              <w:rPr>
                <w:rFonts w:ascii="Arial" w:eastAsia="Times New Roman" w:hAnsi="Arial" w:cs="Arial"/>
                <w:sz w:val="20"/>
              </w:rPr>
              <w:br/>
            </w:r>
            <w:hyperlink r:id="rId34" w:anchor="40:7.0.1.1.1.90.154.27" w:history="1">
              <w:r w:rsidRPr="000E6505">
                <w:rPr>
                  <w:rFonts w:ascii="Arial" w:eastAsia="Times New Roman" w:hAnsi="Arial" w:cs="Arial"/>
                  <w:color w:val="0000FF"/>
                  <w:sz w:val="17"/>
                </w:rPr>
                <w:t>§60.1130   How do I make my siting analysis available to the public?</w:t>
              </w:r>
            </w:hyperlink>
            <w:r w:rsidRPr="000E6505">
              <w:rPr>
                <w:rFonts w:ascii="Arial" w:eastAsia="Times New Roman" w:hAnsi="Arial" w:cs="Arial"/>
                <w:sz w:val="20"/>
              </w:rPr>
              <w:br/>
            </w:r>
            <w:hyperlink r:id="rId35" w:anchor="40:7.0.1.1.1.90.154.28" w:history="1">
              <w:r w:rsidRPr="000E6505">
                <w:rPr>
                  <w:rFonts w:ascii="Arial" w:eastAsia="Times New Roman" w:hAnsi="Arial" w:cs="Arial"/>
                  <w:color w:val="0000FF"/>
                  <w:sz w:val="17"/>
                </w:rPr>
                <w:t>§60.1135   When must I accept comments on the siting analysis and revised materials separation plan?</w:t>
              </w:r>
            </w:hyperlink>
            <w:r w:rsidRPr="000E6505">
              <w:rPr>
                <w:rFonts w:ascii="Arial" w:eastAsia="Times New Roman" w:hAnsi="Arial" w:cs="Arial"/>
                <w:sz w:val="20"/>
              </w:rPr>
              <w:br/>
            </w:r>
            <w:hyperlink r:id="rId36" w:anchor="40:7.0.1.1.1.90.154.29" w:history="1">
              <w:r w:rsidRPr="000E6505">
                <w:rPr>
                  <w:rFonts w:ascii="Arial" w:eastAsia="Times New Roman" w:hAnsi="Arial" w:cs="Arial"/>
                  <w:color w:val="0000FF"/>
                  <w:sz w:val="17"/>
                </w:rPr>
                <w:t>§60.1140   Where and when must I hold a public meeting on the siting analysis?</w:t>
              </w:r>
            </w:hyperlink>
            <w:r w:rsidRPr="000E6505">
              <w:rPr>
                <w:rFonts w:ascii="Arial" w:eastAsia="Times New Roman" w:hAnsi="Arial" w:cs="Arial"/>
                <w:sz w:val="20"/>
              </w:rPr>
              <w:br/>
            </w:r>
            <w:hyperlink r:id="rId37" w:anchor="40:7.0.1.1.1.90.154.30" w:history="1">
              <w:r w:rsidRPr="000E6505">
                <w:rPr>
                  <w:rFonts w:ascii="Arial" w:eastAsia="Times New Roman" w:hAnsi="Arial" w:cs="Arial"/>
                  <w:color w:val="0000FF"/>
                  <w:sz w:val="17"/>
                </w:rPr>
                <w:t>§60.1145   What must I do with any public comments I receive during the public comment period on my siting analysis?</w:t>
              </w:r>
            </w:hyperlink>
            <w:r w:rsidRPr="000E6505">
              <w:rPr>
                <w:rFonts w:ascii="Arial" w:eastAsia="Times New Roman" w:hAnsi="Arial" w:cs="Arial"/>
                <w:sz w:val="20"/>
              </w:rPr>
              <w:br/>
            </w:r>
            <w:hyperlink r:id="rId38" w:anchor="40:7.0.1.1.1.90.154.31" w:history="1">
              <w:r w:rsidRPr="000E6505">
                <w:rPr>
                  <w:rFonts w:ascii="Arial" w:eastAsia="Times New Roman" w:hAnsi="Arial" w:cs="Arial"/>
                  <w:color w:val="0000FF"/>
                  <w:sz w:val="17"/>
                </w:rPr>
                <w:t>§60.1150   How do I submit my siting analysis?</w:t>
              </w:r>
            </w:hyperlink>
          </w:p>
          <w:p w:rsidR="000E6505" w:rsidRPr="000E6505" w:rsidRDefault="000E6505" w:rsidP="000E6505">
            <w:pPr>
              <w:spacing w:after="100" w:afterAutospacing="1" w:line="240" w:lineRule="auto"/>
              <w:rPr>
                <w:rFonts w:ascii="Arial" w:eastAsia="Times New Roman" w:hAnsi="Arial" w:cs="Arial"/>
                <w:smallCaps/>
                <w:sz w:val="20"/>
              </w:rPr>
            </w:pPr>
            <w:hyperlink r:id="rId39" w:anchor="40:7.0.1.1.1.90.155" w:history="1">
              <w:r w:rsidRPr="000E6505">
                <w:rPr>
                  <w:rFonts w:ascii="Arial" w:eastAsia="Times New Roman" w:hAnsi="Arial" w:cs="Arial"/>
                  <w:smallCaps/>
                  <w:color w:val="0000FF"/>
                  <w:sz w:val="17"/>
                </w:rPr>
                <w:t>Good Combustion Practices: Operator Training</w:t>
              </w:r>
            </w:hyperlink>
          </w:p>
          <w:p w:rsidR="000E6505" w:rsidRPr="000E6505" w:rsidRDefault="000E6505" w:rsidP="000E6505">
            <w:pPr>
              <w:spacing w:after="0" w:line="240" w:lineRule="auto"/>
              <w:rPr>
                <w:rFonts w:ascii="Arial" w:eastAsia="Times New Roman" w:hAnsi="Arial" w:cs="Arial"/>
                <w:sz w:val="20"/>
              </w:rPr>
            </w:pPr>
            <w:hyperlink r:id="rId40" w:anchor="40:7.0.1.1.1.90.155.32" w:history="1">
              <w:r w:rsidRPr="000E6505">
                <w:rPr>
                  <w:rFonts w:ascii="Arial" w:eastAsia="Times New Roman" w:hAnsi="Arial" w:cs="Arial"/>
                  <w:color w:val="0000FF"/>
                  <w:sz w:val="17"/>
                </w:rPr>
                <w:t>§60.1155   What types of training must I do?</w:t>
              </w:r>
            </w:hyperlink>
            <w:r w:rsidRPr="000E6505">
              <w:rPr>
                <w:rFonts w:ascii="Arial" w:eastAsia="Times New Roman" w:hAnsi="Arial" w:cs="Arial"/>
                <w:sz w:val="20"/>
              </w:rPr>
              <w:br/>
            </w:r>
            <w:hyperlink r:id="rId41" w:anchor="40:7.0.1.1.1.90.155.33" w:history="1">
              <w:r w:rsidRPr="000E6505">
                <w:rPr>
                  <w:rFonts w:ascii="Arial" w:eastAsia="Times New Roman" w:hAnsi="Arial" w:cs="Arial"/>
                  <w:color w:val="0000FF"/>
                  <w:sz w:val="17"/>
                </w:rPr>
                <w:t>§60.1160   Who must complete the operator training course? By when?</w:t>
              </w:r>
            </w:hyperlink>
            <w:r w:rsidRPr="000E6505">
              <w:rPr>
                <w:rFonts w:ascii="Arial" w:eastAsia="Times New Roman" w:hAnsi="Arial" w:cs="Arial"/>
                <w:sz w:val="20"/>
              </w:rPr>
              <w:br/>
            </w:r>
            <w:hyperlink r:id="rId42" w:anchor="40:7.0.1.1.1.90.155.34" w:history="1">
              <w:r w:rsidRPr="000E6505">
                <w:rPr>
                  <w:rFonts w:ascii="Arial" w:eastAsia="Times New Roman" w:hAnsi="Arial" w:cs="Arial"/>
                  <w:color w:val="0000FF"/>
                  <w:sz w:val="17"/>
                </w:rPr>
                <w:t>§60.1165   Who must complete the plant-specific training course?</w:t>
              </w:r>
            </w:hyperlink>
            <w:r w:rsidRPr="000E6505">
              <w:rPr>
                <w:rFonts w:ascii="Arial" w:eastAsia="Times New Roman" w:hAnsi="Arial" w:cs="Arial"/>
                <w:sz w:val="20"/>
              </w:rPr>
              <w:br/>
            </w:r>
            <w:hyperlink r:id="rId43" w:anchor="40:7.0.1.1.1.90.155.35" w:history="1">
              <w:r w:rsidRPr="000E6505">
                <w:rPr>
                  <w:rFonts w:ascii="Arial" w:eastAsia="Times New Roman" w:hAnsi="Arial" w:cs="Arial"/>
                  <w:color w:val="0000FF"/>
                  <w:sz w:val="17"/>
                </w:rPr>
                <w:t>§60.1170   What plant-specific training must I provide?</w:t>
              </w:r>
            </w:hyperlink>
            <w:r w:rsidRPr="000E6505">
              <w:rPr>
                <w:rFonts w:ascii="Arial" w:eastAsia="Times New Roman" w:hAnsi="Arial" w:cs="Arial"/>
                <w:sz w:val="20"/>
              </w:rPr>
              <w:br/>
            </w:r>
            <w:hyperlink r:id="rId44" w:anchor="40:7.0.1.1.1.90.155.36" w:history="1">
              <w:r w:rsidRPr="000E6505">
                <w:rPr>
                  <w:rFonts w:ascii="Arial" w:eastAsia="Times New Roman" w:hAnsi="Arial" w:cs="Arial"/>
                  <w:color w:val="0000FF"/>
                  <w:sz w:val="17"/>
                </w:rPr>
                <w:t>§60.1175   What information must I include in the plant-specific operating manual?</w:t>
              </w:r>
            </w:hyperlink>
            <w:r w:rsidRPr="000E6505">
              <w:rPr>
                <w:rFonts w:ascii="Arial" w:eastAsia="Times New Roman" w:hAnsi="Arial" w:cs="Arial"/>
                <w:sz w:val="20"/>
              </w:rPr>
              <w:br/>
            </w:r>
            <w:hyperlink r:id="rId45" w:anchor="40:7.0.1.1.1.90.155.37" w:history="1">
              <w:r w:rsidRPr="000E6505">
                <w:rPr>
                  <w:rFonts w:ascii="Arial" w:eastAsia="Times New Roman" w:hAnsi="Arial" w:cs="Arial"/>
                  <w:color w:val="0000FF"/>
                  <w:sz w:val="17"/>
                </w:rPr>
                <w:t>§60.1180   Where must I keep the plant-specific operating manual?</w:t>
              </w:r>
            </w:hyperlink>
          </w:p>
          <w:p w:rsidR="000E6505" w:rsidRPr="000E6505" w:rsidRDefault="000E6505" w:rsidP="000E6505">
            <w:pPr>
              <w:spacing w:after="100" w:afterAutospacing="1" w:line="240" w:lineRule="auto"/>
              <w:rPr>
                <w:rFonts w:ascii="Arial" w:eastAsia="Times New Roman" w:hAnsi="Arial" w:cs="Arial"/>
                <w:smallCaps/>
                <w:sz w:val="20"/>
              </w:rPr>
            </w:pPr>
            <w:hyperlink r:id="rId46" w:anchor="40:7.0.1.1.1.90.156" w:history="1">
              <w:r w:rsidRPr="000E6505">
                <w:rPr>
                  <w:rFonts w:ascii="Arial" w:eastAsia="Times New Roman" w:hAnsi="Arial" w:cs="Arial"/>
                  <w:smallCaps/>
                  <w:color w:val="0000FF"/>
                  <w:sz w:val="17"/>
                </w:rPr>
                <w:t>Good Combustion Practices: Operator Certification</w:t>
              </w:r>
            </w:hyperlink>
          </w:p>
          <w:p w:rsidR="000E6505" w:rsidRPr="000E6505" w:rsidRDefault="000E6505" w:rsidP="000E6505">
            <w:pPr>
              <w:spacing w:after="0" w:line="240" w:lineRule="auto"/>
              <w:rPr>
                <w:rFonts w:ascii="Arial" w:eastAsia="Times New Roman" w:hAnsi="Arial" w:cs="Arial"/>
                <w:sz w:val="20"/>
              </w:rPr>
            </w:pPr>
            <w:hyperlink r:id="rId47" w:anchor="40:7.0.1.1.1.90.156.38" w:history="1">
              <w:r w:rsidRPr="000E6505">
                <w:rPr>
                  <w:rFonts w:ascii="Arial" w:eastAsia="Times New Roman" w:hAnsi="Arial" w:cs="Arial"/>
                  <w:color w:val="0000FF"/>
                  <w:sz w:val="17"/>
                </w:rPr>
                <w:t xml:space="preserve">§60.1185   What types of operator certification must the chief facility operator and shift supervisor obtain and by when must </w:t>
              </w:r>
              <w:r w:rsidRPr="000E6505">
                <w:rPr>
                  <w:rFonts w:ascii="Arial" w:eastAsia="Times New Roman" w:hAnsi="Arial" w:cs="Arial"/>
                  <w:color w:val="0000FF"/>
                  <w:sz w:val="17"/>
                </w:rPr>
                <w:lastRenderedPageBreak/>
                <w:t>they obtain it?</w:t>
              </w:r>
            </w:hyperlink>
            <w:r w:rsidRPr="000E6505">
              <w:rPr>
                <w:rFonts w:ascii="Arial" w:eastAsia="Times New Roman" w:hAnsi="Arial" w:cs="Arial"/>
                <w:sz w:val="20"/>
              </w:rPr>
              <w:br/>
            </w:r>
            <w:hyperlink r:id="rId48" w:anchor="40:7.0.1.1.1.90.156.39" w:history="1">
              <w:r w:rsidRPr="000E6505">
                <w:rPr>
                  <w:rFonts w:ascii="Arial" w:eastAsia="Times New Roman" w:hAnsi="Arial" w:cs="Arial"/>
                  <w:color w:val="0000FF"/>
                  <w:sz w:val="17"/>
                </w:rPr>
                <w:t>§60.1190   After the required date for operator certification, who may operate the municipal waste combustion unit?</w:t>
              </w:r>
            </w:hyperlink>
            <w:r w:rsidRPr="000E6505">
              <w:rPr>
                <w:rFonts w:ascii="Arial" w:eastAsia="Times New Roman" w:hAnsi="Arial" w:cs="Arial"/>
                <w:sz w:val="20"/>
              </w:rPr>
              <w:br/>
            </w:r>
            <w:hyperlink r:id="rId49" w:anchor="40:7.0.1.1.1.90.156.40" w:history="1">
              <w:r w:rsidRPr="000E6505">
                <w:rPr>
                  <w:rFonts w:ascii="Arial" w:eastAsia="Times New Roman" w:hAnsi="Arial" w:cs="Arial"/>
                  <w:color w:val="0000FF"/>
                  <w:sz w:val="17"/>
                </w:rPr>
                <w:t>§60.1195   What if all the certified operators must be temporarily offsite?</w:t>
              </w:r>
            </w:hyperlink>
          </w:p>
          <w:p w:rsidR="000E6505" w:rsidRPr="000E6505" w:rsidRDefault="000E6505" w:rsidP="000E6505">
            <w:pPr>
              <w:spacing w:after="100" w:afterAutospacing="1" w:line="240" w:lineRule="auto"/>
              <w:rPr>
                <w:rFonts w:ascii="Arial" w:eastAsia="Times New Roman" w:hAnsi="Arial" w:cs="Arial"/>
                <w:smallCaps/>
                <w:sz w:val="20"/>
              </w:rPr>
            </w:pPr>
            <w:hyperlink r:id="rId50" w:anchor="40:7.0.1.1.1.90.157" w:history="1">
              <w:r w:rsidRPr="000E6505">
                <w:rPr>
                  <w:rFonts w:ascii="Arial" w:eastAsia="Times New Roman" w:hAnsi="Arial" w:cs="Arial"/>
                  <w:smallCaps/>
                  <w:color w:val="0000FF"/>
                  <w:sz w:val="17"/>
                </w:rPr>
                <w:t>Good Combustion Practices: Operating Requirements</w:t>
              </w:r>
            </w:hyperlink>
          </w:p>
          <w:p w:rsidR="000E6505" w:rsidRPr="000E6505" w:rsidRDefault="000E6505" w:rsidP="000E6505">
            <w:pPr>
              <w:spacing w:after="0" w:line="240" w:lineRule="auto"/>
              <w:rPr>
                <w:rFonts w:ascii="Arial" w:eastAsia="Times New Roman" w:hAnsi="Arial" w:cs="Arial"/>
                <w:sz w:val="20"/>
              </w:rPr>
            </w:pPr>
            <w:hyperlink r:id="rId51" w:anchor="40:7.0.1.1.1.90.157.41" w:history="1">
              <w:r w:rsidRPr="000E6505">
                <w:rPr>
                  <w:rFonts w:ascii="Arial" w:eastAsia="Times New Roman" w:hAnsi="Arial" w:cs="Arial"/>
                  <w:color w:val="0000FF"/>
                  <w:sz w:val="17"/>
                </w:rPr>
                <w:t>§60.1200   What are the operating practice requirements for my municipal waste combustion unit?</w:t>
              </w:r>
            </w:hyperlink>
            <w:r w:rsidRPr="000E6505">
              <w:rPr>
                <w:rFonts w:ascii="Arial" w:eastAsia="Times New Roman" w:hAnsi="Arial" w:cs="Arial"/>
                <w:sz w:val="20"/>
              </w:rPr>
              <w:br/>
            </w:r>
            <w:hyperlink r:id="rId52" w:anchor="40:7.0.1.1.1.90.157.42" w:history="1">
              <w:r w:rsidRPr="000E6505">
                <w:rPr>
                  <w:rFonts w:ascii="Arial" w:eastAsia="Times New Roman" w:hAnsi="Arial" w:cs="Arial"/>
                  <w:color w:val="0000FF"/>
                  <w:sz w:val="17"/>
                </w:rPr>
                <w:t>§60.1205   What happens to the operating requirements during periods of startup, shutdown, and malfunction?</w:t>
              </w:r>
            </w:hyperlink>
          </w:p>
          <w:p w:rsidR="000E6505" w:rsidRPr="000E6505" w:rsidRDefault="000E6505" w:rsidP="000E6505">
            <w:pPr>
              <w:spacing w:after="100" w:afterAutospacing="1" w:line="240" w:lineRule="auto"/>
              <w:rPr>
                <w:rFonts w:ascii="Arial" w:eastAsia="Times New Roman" w:hAnsi="Arial" w:cs="Arial"/>
                <w:smallCaps/>
                <w:sz w:val="20"/>
              </w:rPr>
            </w:pPr>
            <w:hyperlink r:id="rId53" w:anchor="40:7.0.1.1.1.90.158" w:history="1">
              <w:r w:rsidRPr="000E6505">
                <w:rPr>
                  <w:rFonts w:ascii="Arial" w:eastAsia="Times New Roman" w:hAnsi="Arial" w:cs="Arial"/>
                  <w:smallCaps/>
                  <w:color w:val="0000FF"/>
                  <w:sz w:val="17"/>
                </w:rPr>
                <w:t>Emission Limits</w:t>
              </w:r>
            </w:hyperlink>
          </w:p>
          <w:p w:rsidR="000E6505" w:rsidRPr="000E6505" w:rsidRDefault="000E6505" w:rsidP="000E6505">
            <w:pPr>
              <w:spacing w:after="0" w:line="240" w:lineRule="auto"/>
              <w:rPr>
                <w:rFonts w:ascii="Arial" w:eastAsia="Times New Roman" w:hAnsi="Arial" w:cs="Arial"/>
                <w:sz w:val="20"/>
              </w:rPr>
            </w:pPr>
            <w:hyperlink r:id="rId54" w:anchor="40:7.0.1.1.1.90.158.43" w:history="1">
              <w:r w:rsidRPr="000E6505">
                <w:rPr>
                  <w:rFonts w:ascii="Arial" w:eastAsia="Times New Roman" w:hAnsi="Arial" w:cs="Arial"/>
                  <w:color w:val="0000FF"/>
                  <w:sz w:val="17"/>
                </w:rPr>
                <w:t>§60.1210   What pollutants are regulated by this subpart?</w:t>
              </w:r>
            </w:hyperlink>
            <w:r w:rsidRPr="000E6505">
              <w:rPr>
                <w:rFonts w:ascii="Arial" w:eastAsia="Times New Roman" w:hAnsi="Arial" w:cs="Arial"/>
                <w:sz w:val="20"/>
              </w:rPr>
              <w:br/>
            </w:r>
            <w:hyperlink r:id="rId55" w:anchor="40:7.0.1.1.1.90.158.44" w:history="1">
              <w:r w:rsidRPr="000E6505">
                <w:rPr>
                  <w:rFonts w:ascii="Arial" w:eastAsia="Times New Roman" w:hAnsi="Arial" w:cs="Arial"/>
                  <w:color w:val="0000FF"/>
                  <w:sz w:val="17"/>
                </w:rPr>
                <w:t>§60.1215   What emission limits must I meet? By when?</w:t>
              </w:r>
            </w:hyperlink>
            <w:r w:rsidRPr="000E6505">
              <w:rPr>
                <w:rFonts w:ascii="Arial" w:eastAsia="Times New Roman" w:hAnsi="Arial" w:cs="Arial"/>
                <w:sz w:val="20"/>
              </w:rPr>
              <w:br/>
            </w:r>
            <w:hyperlink r:id="rId56" w:anchor="40:7.0.1.1.1.90.158.45" w:history="1">
              <w:r w:rsidRPr="000E6505">
                <w:rPr>
                  <w:rFonts w:ascii="Arial" w:eastAsia="Times New Roman" w:hAnsi="Arial" w:cs="Arial"/>
                  <w:color w:val="0000FF"/>
                  <w:sz w:val="17"/>
                </w:rPr>
                <w:t>§60.1220   What happens to the emission limits during periods of startup, shutdown, and malfunction?</w:t>
              </w:r>
            </w:hyperlink>
          </w:p>
          <w:p w:rsidR="000E6505" w:rsidRPr="000E6505" w:rsidRDefault="000E6505" w:rsidP="000E6505">
            <w:pPr>
              <w:spacing w:after="100" w:afterAutospacing="1" w:line="240" w:lineRule="auto"/>
              <w:rPr>
                <w:rFonts w:ascii="Arial" w:eastAsia="Times New Roman" w:hAnsi="Arial" w:cs="Arial"/>
                <w:smallCaps/>
                <w:sz w:val="20"/>
              </w:rPr>
            </w:pPr>
            <w:hyperlink r:id="rId57" w:anchor="40:7.0.1.1.1.90.159" w:history="1">
              <w:r w:rsidRPr="000E6505">
                <w:rPr>
                  <w:rFonts w:ascii="Arial" w:eastAsia="Times New Roman" w:hAnsi="Arial" w:cs="Arial"/>
                  <w:smallCaps/>
                  <w:color w:val="0000FF"/>
                  <w:sz w:val="17"/>
                </w:rPr>
                <w:t>Continuous Emission Monitoring</w:t>
              </w:r>
            </w:hyperlink>
          </w:p>
          <w:p w:rsidR="000E6505" w:rsidRPr="000E6505" w:rsidRDefault="000E6505" w:rsidP="000E6505">
            <w:pPr>
              <w:spacing w:after="0" w:line="240" w:lineRule="auto"/>
              <w:rPr>
                <w:rFonts w:ascii="Arial" w:eastAsia="Times New Roman" w:hAnsi="Arial" w:cs="Arial"/>
                <w:sz w:val="20"/>
              </w:rPr>
            </w:pPr>
            <w:hyperlink r:id="rId58" w:anchor="40:7.0.1.1.1.90.159.46" w:history="1">
              <w:r w:rsidRPr="000E6505">
                <w:rPr>
                  <w:rFonts w:ascii="Arial" w:eastAsia="Times New Roman" w:hAnsi="Arial" w:cs="Arial"/>
                  <w:color w:val="0000FF"/>
                  <w:sz w:val="17"/>
                </w:rPr>
                <w:t>§60.1225   What types of continuous emission monitoring must I perform?</w:t>
              </w:r>
            </w:hyperlink>
            <w:r w:rsidRPr="000E6505">
              <w:rPr>
                <w:rFonts w:ascii="Arial" w:eastAsia="Times New Roman" w:hAnsi="Arial" w:cs="Arial"/>
                <w:sz w:val="20"/>
              </w:rPr>
              <w:br/>
            </w:r>
            <w:hyperlink r:id="rId59" w:anchor="40:7.0.1.1.1.90.159.47" w:history="1">
              <w:r w:rsidRPr="000E6505">
                <w:rPr>
                  <w:rFonts w:ascii="Arial" w:eastAsia="Times New Roman" w:hAnsi="Arial" w:cs="Arial"/>
                  <w:color w:val="0000FF"/>
                  <w:sz w:val="17"/>
                </w:rPr>
                <w:t>§60.1230   What continuous emission monitoring systems must I install for gaseous pollutants?</w:t>
              </w:r>
            </w:hyperlink>
            <w:r w:rsidRPr="000E6505">
              <w:rPr>
                <w:rFonts w:ascii="Arial" w:eastAsia="Times New Roman" w:hAnsi="Arial" w:cs="Arial"/>
                <w:sz w:val="20"/>
              </w:rPr>
              <w:br/>
            </w:r>
            <w:hyperlink r:id="rId60" w:anchor="40:7.0.1.1.1.90.159.48" w:history="1">
              <w:r w:rsidRPr="000E6505">
                <w:rPr>
                  <w:rFonts w:ascii="Arial" w:eastAsia="Times New Roman" w:hAnsi="Arial" w:cs="Arial"/>
                  <w:color w:val="0000FF"/>
                  <w:sz w:val="17"/>
                </w:rPr>
                <w:t>§60.1235   How are the data from the continuous emission monitoring systems used?</w:t>
              </w:r>
            </w:hyperlink>
            <w:r w:rsidRPr="000E6505">
              <w:rPr>
                <w:rFonts w:ascii="Arial" w:eastAsia="Times New Roman" w:hAnsi="Arial" w:cs="Arial"/>
                <w:sz w:val="20"/>
              </w:rPr>
              <w:br/>
            </w:r>
            <w:hyperlink r:id="rId61" w:anchor="40:7.0.1.1.1.90.159.49" w:history="1">
              <w:r w:rsidRPr="000E6505">
                <w:rPr>
                  <w:rFonts w:ascii="Arial" w:eastAsia="Times New Roman" w:hAnsi="Arial" w:cs="Arial"/>
                  <w:color w:val="0000FF"/>
                  <w:sz w:val="17"/>
                </w:rPr>
                <w:t>§60.1240   How do I make sure my continuous emission monitoring systems are operating correctly?</w:t>
              </w:r>
            </w:hyperlink>
            <w:r w:rsidRPr="000E6505">
              <w:rPr>
                <w:rFonts w:ascii="Arial" w:eastAsia="Times New Roman" w:hAnsi="Arial" w:cs="Arial"/>
                <w:sz w:val="20"/>
              </w:rPr>
              <w:br/>
            </w:r>
            <w:hyperlink r:id="rId62" w:anchor="40:7.0.1.1.1.90.159.50" w:history="1">
              <w:r w:rsidRPr="000E6505">
                <w:rPr>
                  <w:rFonts w:ascii="Arial" w:eastAsia="Times New Roman" w:hAnsi="Arial" w:cs="Arial"/>
                  <w:color w:val="0000FF"/>
                  <w:sz w:val="17"/>
                </w:rPr>
                <w:t>§60.1245   Am I exempt from any appendix B or appendix F requirements to evaluate continuous emission monitoring systems?</w:t>
              </w:r>
            </w:hyperlink>
            <w:r w:rsidRPr="000E6505">
              <w:rPr>
                <w:rFonts w:ascii="Arial" w:eastAsia="Times New Roman" w:hAnsi="Arial" w:cs="Arial"/>
                <w:sz w:val="20"/>
              </w:rPr>
              <w:br/>
            </w:r>
            <w:hyperlink r:id="rId63" w:anchor="40:7.0.1.1.1.90.159.51" w:history="1">
              <w:r w:rsidRPr="000E6505">
                <w:rPr>
                  <w:rFonts w:ascii="Arial" w:eastAsia="Times New Roman" w:hAnsi="Arial" w:cs="Arial"/>
                  <w:color w:val="0000FF"/>
                  <w:sz w:val="17"/>
                </w:rPr>
                <w:t>§60.1250   What is my schedule for evaluating continuous emission monitoring systems?</w:t>
              </w:r>
            </w:hyperlink>
            <w:r w:rsidRPr="000E6505">
              <w:rPr>
                <w:rFonts w:ascii="Arial" w:eastAsia="Times New Roman" w:hAnsi="Arial" w:cs="Arial"/>
                <w:sz w:val="20"/>
              </w:rPr>
              <w:br/>
            </w:r>
            <w:hyperlink r:id="rId64" w:anchor="40:7.0.1.1.1.90.159.52" w:history="1">
              <w:r w:rsidRPr="000E6505">
                <w:rPr>
                  <w:rFonts w:ascii="Arial" w:eastAsia="Times New Roman" w:hAnsi="Arial" w:cs="Arial"/>
                  <w:color w:val="0000FF"/>
                  <w:sz w:val="17"/>
                </w:rPr>
                <w:t>§60.1255   What must I do if I choose to monitor carbon dioxide instead of oxygen as a diluent gas?</w:t>
              </w:r>
            </w:hyperlink>
            <w:r w:rsidRPr="000E6505">
              <w:rPr>
                <w:rFonts w:ascii="Arial" w:eastAsia="Times New Roman" w:hAnsi="Arial" w:cs="Arial"/>
                <w:sz w:val="20"/>
              </w:rPr>
              <w:br/>
            </w:r>
            <w:hyperlink r:id="rId65" w:anchor="40:7.0.1.1.1.90.159.53" w:history="1">
              <w:r w:rsidRPr="000E6505">
                <w:rPr>
                  <w:rFonts w:ascii="Arial" w:eastAsia="Times New Roman" w:hAnsi="Arial" w:cs="Arial"/>
                  <w:color w:val="0000FF"/>
                  <w:sz w:val="17"/>
                </w:rPr>
                <w:t>§60.1260   What is the minimum amount of monitoring data I must collect with my continuous emission monitoring systems and is the data collection requirement enforceable?</w:t>
              </w:r>
            </w:hyperlink>
            <w:r w:rsidRPr="000E6505">
              <w:rPr>
                <w:rFonts w:ascii="Arial" w:eastAsia="Times New Roman" w:hAnsi="Arial" w:cs="Arial"/>
                <w:sz w:val="20"/>
              </w:rPr>
              <w:br/>
            </w:r>
            <w:hyperlink r:id="rId66" w:anchor="40:7.0.1.1.1.90.159.54" w:history="1">
              <w:r w:rsidRPr="000E6505">
                <w:rPr>
                  <w:rFonts w:ascii="Arial" w:eastAsia="Times New Roman" w:hAnsi="Arial" w:cs="Arial"/>
                  <w:color w:val="0000FF"/>
                  <w:sz w:val="17"/>
                </w:rPr>
                <w:t>§60.1265   How do I convert my 1-hour arithmetic averages into the appropriate averaging times and units?</w:t>
              </w:r>
            </w:hyperlink>
            <w:r w:rsidRPr="000E6505">
              <w:rPr>
                <w:rFonts w:ascii="Arial" w:eastAsia="Times New Roman" w:hAnsi="Arial" w:cs="Arial"/>
                <w:sz w:val="20"/>
              </w:rPr>
              <w:br/>
            </w:r>
            <w:hyperlink r:id="rId67" w:anchor="40:7.0.1.1.1.90.159.55" w:history="1">
              <w:r w:rsidRPr="000E6505">
                <w:rPr>
                  <w:rFonts w:ascii="Arial" w:eastAsia="Times New Roman" w:hAnsi="Arial" w:cs="Arial"/>
                  <w:color w:val="0000FF"/>
                  <w:sz w:val="17"/>
                </w:rPr>
                <w:t>§60.1270   What is required for my continuous opacity monitoring system and how are the data used?</w:t>
              </w:r>
            </w:hyperlink>
            <w:r w:rsidRPr="000E6505">
              <w:rPr>
                <w:rFonts w:ascii="Arial" w:eastAsia="Times New Roman" w:hAnsi="Arial" w:cs="Arial"/>
                <w:sz w:val="20"/>
              </w:rPr>
              <w:br/>
            </w:r>
            <w:hyperlink r:id="rId68" w:anchor="40:7.0.1.1.1.90.159.56" w:history="1">
              <w:r w:rsidRPr="000E6505">
                <w:rPr>
                  <w:rFonts w:ascii="Arial" w:eastAsia="Times New Roman" w:hAnsi="Arial" w:cs="Arial"/>
                  <w:color w:val="0000FF"/>
                  <w:sz w:val="17"/>
                </w:rPr>
                <w:t>§60.1275   What additional requirements must I meet for the operation of my continuous emission monitoring systems and continuous opacity monitoring system?</w:t>
              </w:r>
            </w:hyperlink>
            <w:r w:rsidRPr="000E6505">
              <w:rPr>
                <w:rFonts w:ascii="Arial" w:eastAsia="Times New Roman" w:hAnsi="Arial" w:cs="Arial"/>
                <w:sz w:val="20"/>
              </w:rPr>
              <w:br/>
            </w:r>
            <w:hyperlink r:id="rId69" w:anchor="40:7.0.1.1.1.90.159.57" w:history="1">
              <w:r w:rsidRPr="000E6505">
                <w:rPr>
                  <w:rFonts w:ascii="Arial" w:eastAsia="Times New Roman" w:hAnsi="Arial" w:cs="Arial"/>
                  <w:color w:val="0000FF"/>
                  <w:sz w:val="17"/>
                </w:rPr>
                <w:t xml:space="preserve">§60.1280   What must I do if any of my continuous emission monitoring systems </w:t>
              </w:r>
              <w:proofErr w:type="gramStart"/>
              <w:r w:rsidRPr="000E6505">
                <w:rPr>
                  <w:rFonts w:ascii="Arial" w:eastAsia="Times New Roman" w:hAnsi="Arial" w:cs="Arial"/>
                  <w:color w:val="0000FF"/>
                  <w:sz w:val="17"/>
                </w:rPr>
                <w:t>are</w:t>
              </w:r>
              <w:proofErr w:type="gramEnd"/>
              <w:r w:rsidRPr="000E6505">
                <w:rPr>
                  <w:rFonts w:ascii="Arial" w:eastAsia="Times New Roman" w:hAnsi="Arial" w:cs="Arial"/>
                  <w:color w:val="0000FF"/>
                  <w:sz w:val="17"/>
                </w:rPr>
                <w:t xml:space="preserve"> temporarily unavailable to meet the data collection requirements?</w:t>
              </w:r>
            </w:hyperlink>
          </w:p>
          <w:p w:rsidR="000E6505" w:rsidRPr="000E6505" w:rsidRDefault="000E6505" w:rsidP="000E6505">
            <w:pPr>
              <w:spacing w:after="100" w:afterAutospacing="1" w:line="240" w:lineRule="auto"/>
              <w:rPr>
                <w:rFonts w:ascii="Arial" w:eastAsia="Times New Roman" w:hAnsi="Arial" w:cs="Arial"/>
                <w:smallCaps/>
                <w:sz w:val="20"/>
              </w:rPr>
            </w:pPr>
            <w:hyperlink r:id="rId70" w:anchor="40:7.0.1.1.1.90.160" w:history="1">
              <w:r w:rsidRPr="000E6505">
                <w:rPr>
                  <w:rFonts w:ascii="Arial" w:eastAsia="Times New Roman" w:hAnsi="Arial" w:cs="Arial"/>
                  <w:smallCaps/>
                  <w:color w:val="0000FF"/>
                  <w:sz w:val="17"/>
                </w:rPr>
                <w:t>Stack Testing</w:t>
              </w:r>
            </w:hyperlink>
          </w:p>
          <w:p w:rsidR="000E6505" w:rsidRPr="000E6505" w:rsidRDefault="000E6505" w:rsidP="000E6505">
            <w:pPr>
              <w:spacing w:after="0" w:line="240" w:lineRule="auto"/>
              <w:rPr>
                <w:rFonts w:ascii="Arial" w:eastAsia="Times New Roman" w:hAnsi="Arial" w:cs="Arial"/>
                <w:sz w:val="20"/>
              </w:rPr>
            </w:pPr>
            <w:hyperlink r:id="rId71" w:anchor="40:7.0.1.1.1.90.160.58" w:history="1">
              <w:r w:rsidRPr="000E6505">
                <w:rPr>
                  <w:rFonts w:ascii="Arial" w:eastAsia="Times New Roman" w:hAnsi="Arial" w:cs="Arial"/>
                  <w:color w:val="0000FF"/>
                  <w:sz w:val="17"/>
                </w:rPr>
                <w:t>§60.1285   What types of stack tests must I conduct?</w:t>
              </w:r>
            </w:hyperlink>
            <w:r w:rsidRPr="000E6505">
              <w:rPr>
                <w:rFonts w:ascii="Arial" w:eastAsia="Times New Roman" w:hAnsi="Arial" w:cs="Arial"/>
                <w:sz w:val="20"/>
              </w:rPr>
              <w:br/>
            </w:r>
            <w:hyperlink r:id="rId72" w:anchor="40:7.0.1.1.1.90.160.59" w:history="1">
              <w:r w:rsidRPr="000E6505">
                <w:rPr>
                  <w:rFonts w:ascii="Arial" w:eastAsia="Times New Roman" w:hAnsi="Arial" w:cs="Arial"/>
                  <w:color w:val="0000FF"/>
                  <w:sz w:val="17"/>
                </w:rPr>
                <w:t>§60.1290   How are the stack test data used?</w:t>
              </w:r>
            </w:hyperlink>
            <w:r w:rsidRPr="000E6505">
              <w:rPr>
                <w:rFonts w:ascii="Arial" w:eastAsia="Times New Roman" w:hAnsi="Arial" w:cs="Arial"/>
                <w:sz w:val="20"/>
              </w:rPr>
              <w:br/>
            </w:r>
            <w:hyperlink r:id="rId73" w:anchor="40:7.0.1.1.1.90.160.60" w:history="1">
              <w:r w:rsidRPr="000E6505">
                <w:rPr>
                  <w:rFonts w:ascii="Arial" w:eastAsia="Times New Roman" w:hAnsi="Arial" w:cs="Arial"/>
                  <w:color w:val="0000FF"/>
                  <w:sz w:val="17"/>
                </w:rPr>
                <w:t>§60.1295   What schedule must I follow for the stack testing?</w:t>
              </w:r>
            </w:hyperlink>
            <w:r w:rsidRPr="000E6505">
              <w:rPr>
                <w:rFonts w:ascii="Arial" w:eastAsia="Times New Roman" w:hAnsi="Arial" w:cs="Arial"/>
                <w:sz w:val="20"/>
              </w:rPr>
              <w:br/>
            </w:r>
            <w:hyperlink r:id="rId74" w:anchor="40:7.0.1.1.1.90.160.61" w:history="1">
              <w:r w:rsidRPr="000E6505">
                <w:rPr>
                  <w:rFonts w:ascii="Arial" w:eastAsia="Times New Roman" w:hAnsi="Arial" w:cs="Arial"/>
                  <w:color w:val="0000FF"/>
                  <w:sz w:val="17"/>
                </w:rPr>
                <w:t>§60.1300   What test methods must I use to stack test?</w:t>
              </w:r>
            </w:hyperlink>
            <w:r w:rsidRPr="000E6505">
              <w:rPr>
                <w:rFonts w:ascii="Arial" w:eastAsia="Times New Roman" w:hAnsi="Arial" w:cs="Arial"/>
                <w:sz w:val="20"/>
              </w:rPr>
              <w:br/>
            </w:r>
            <w:hyperlink r:id="rId75" w:anchor="40:7.0.1.1.1.90.160.62" w:history="1">
              <w:r w:rsidRPr="000E6505">
                <w:rPr>
                  <w:rFonts w:ascii="Arial" w:eastAsia="Times New Roman" w:hAnsi="Arial" w:cs="Arial"/>
                  <w:color w:val="0000FF"/>
                  <w:sz w:val="17"/>
                </w:rPr>
                <w:t>§60.1305   May I conduct stack testing less often?</w:t>
              </w:r>
            </w:hyperlink>
            <w:r w:rsidRPr="000E6505">
              <w:rPr>
                <w:rFonts w:ascii="Arial" w:eastAsia="Times New Roman" w:hAnsi="Arial" w:cs="Arial"/>
                <w:sz w:val="20"/>
              </w:rPr>
              <w:br/>
            </w:r>
            <w:hyperlink r:id="rId76" w:anchor="40:7.0.1.1.1.90.160.63" w:history="1">
              <w:r w:rsidRPr="000E6505">
                <w:rPr>
                  <w:rFonts w:ascii="Arial" w:eastAsia="Times New Roman" w:hAnsi="Arial" w:cs="Arial"/>
                  <w:color w:val="0000FF"/>
                  <w:sz w:val="17"/>
                </w:rPr>
                <w:t>§60.1310   May I deviate from the 13-month testing schedule if unforeseen circumstances arise?</w:t>
              </w:r>
            </w:hyperlink>
          </w:p>
          <w:p w:rsidR="000E6505" w:rsidRPr="000E6505" w:rsidRDefault="000E6505" w:rsidP="000E6505">
            <w:pPr>
              <w:spacing w:after="100" w:afterAutospacing="1" w:line="240" w:lineRule="auto"/>
              <w:rPr>
                <w:rFonts w:ascii="Arial" w:eastAsia="Times New Roman" w:hAnsi="Arial" w:cs="Arial"/>
                <w:smallCaps/>
                <w:sz w:val="20"/>
              </w:rPr>
            </w:pPr>
            <w:hyperlink r:id="rId77" w:anchor="40:7.0.1.1.1.90.161" w:history="1">
              <w:r w:rsidRPr="000E6505">
                <w:rPr>
                  <w:rFonts w:ascii="Arial" w:eastAsia="Times New Roman" w:hAnsi="Arial" w:cs="Arial"/>
                  <w:smallCaps/>
                  <w:color w:val="0000FF"/>
                  <w:sz w:val="17"/>
                </w:rPr>
                <w:t>Other Monitoring Requirements</w:t>
              </w:r>
            </w:hyperlink>
          </w:p>
          <w:p w:rsidR="000E6505" w:rsidRPr="000E6505" w:rsidRDefault="000E6505" w:rsidP="000E6505">
            <w:pPr>
              <w:spacing w:after="0" w:line="240" w:lineRule="auto"/>
              <w:rPr>
                <w:rFonts w:ascii="Arial" w:eastAsia="Times New Roman" w:hAnsi="Arial" w:cs="Arial"/>
                <w:sz w:val="20"/>
              </w:rPr>
            </w:pPr>
            <w:hyperlink r:id="rId78" w:anchor="40:7.0.1.1.1.90.161.64" w:history="1">
              <w:r w:rsidRPr="000E6505">
                <w:rPr>
                  <w:rFonts w:ascii="Arial" w:eastAsia="Times New Roman" w:hAnsi="Arial" w:cs="Arial"/>
                  <w:color w:val="0000FF"/>
                  <w:sz w:val="17"/>
                </w:rPr>
                <w:t>§60.1315   Must I meet other requirements for continuous monitoring?</w:t>
              </w:r>
            </w:hyperlink>
            <w:r w:rsidRPr="000E6505">
              <w:rPr>
                <w:rFonts w:ascii="Arial" w:eastAsia="Times New Roman" w:hAnsi="Arial" w:cs="Arial"/>
                <w:sz w:val="20"/>
              </w:rPr>
              <w:br/>
            </w:r>
            <w:hyperlink r:id="rId79" w:anchor="40:7.0.1.1.1.90.161.65" w:history="1">
              <w:r w:rsidRPr="000E6505">
                <w:rPr>
                  <w:rFonts w:ascii="Arial" w:eastAsia="Times New Roman" w:hAnsi="Arial" w:cs="Arial"/>
                  <w:color w:val="0000FF"/>
                  <w:sz w:val="17"/>
                </w:rPr>
                <w:t>§60.1320   How do I monitor the load of my municipal waste combustion unit?</w:t>
              </w:r>
            </w:hyperlink>
            <w:r w:rsidRPr="000E6505">
              <w:rPr>
                <w:rFonts w:ascii="Arial" w:eastAsia="Times New Roman" w:hAnsi="Arial" w:cs="Arial"/>
                <w:sz w:val="20"/>
              </w:rPr>
              <w:br/>
            </w:r>
            <w:hyperlink r:id="rId80" w:anchor="40:7.0.1.1.1.90.161.66" w:history="1">
              <w:r w:rsidRPr="000E6505">
                <w:rPr>
                  <w:rFonts w:ascii="Arial" w:eastAsia="Times New Roman" w:hAnsi="Arial" w:cs="Arial"/>
                  <w:color w:val="0000FF"/>
                  <w:sz w:val="17"/>
                </w:rPr>
                <w:t>§60.1325   How do I monitor the temperature of flue gases at the inlet of my particulate matter control device?</w:t>
              </w:r>
            </w:hyperlink>
            <w:r w:rsidRPr="000E6505">
              <w:rPr>
                <w:rFonts w:ascii="Arial" w:eastAsia="Times New Roman" w:hAnsi="Arial" w:cs="Arial"/>
                <w:sz w:val="20"/>
              </w:rPr>
              <w:br/>
            </w:r>
            <w:hyperlink r:id="rId81" w:anchor="40:7.0.1.1.1.90.161.67" w:history="1">
              <w:r w:rsidRPr="000E6505">
                <w:rPr>
                  <w:rFonts w:ascii="Arial" w:eastAsia="Times New Roman" w:hAnsi="Arial" w:cs="Arial"/>
                  <w:color w:val="0000FF"/>
                  <w:sz w:val="17"/>
                </w:rPr>
                <w:t>§60.1330   How do I monitor the injection rate of activated carbon?</w:t>
              </w:r>
            </w:hyperlink>
            <w:r w:rsidRPr="000E6505">
              <w:rPr>
                <w:rFonts w:ascii="Arial" w:eastAsia="Times New Roman" w:hAnsi="Arial" w:cs="Arial"/>
                <w:sz w:val="20"/>
              </w:rPr>
              <w:br/>
            </w:r>
            <w:hyperlink r:id="rId82" w:anchor="40:7.0.1.1.1.90.161.68" w:history="1">
              <w:r w:rsidRPr="000E6505">
                <w:rPr>
                  <w:rFonts w:ascii="Arial" w:eastAsia="Times New Roman" w:hAnsi="Arial" w:cs="Arial"/>
                  <w:color w:val="0000FF"/>
                  <w:sz w:val="17"/>
                </w:rPr>
                <w:t>§60.1335   What is the minimum amount of monitoring data I must collect with my continuous parameter monitoring systems and is the data collection requirement enforceable?</w:t>
              </w:r>
            </w:hyperlink>
          </w:p>
          <w:p w:rsidR="000E6505" w:rsidRPr="000E6505" w:rsidRDefault="000E6505" w:rsidP="000E6505">
            <w:pPr>
              <w:spacing w:after="100" w:afterAutospacing="1" w:line="240" w:lineRule="auto"/>
              <w:rPr>
                <w:rFonts w:ascii="Arial" w:eastAsia="Times New Roman" w:hAnsi="Arial" w:cs="Arial"/>
                <w:smallCaps/>
                <w:sz w:val="20"/>
              </w:rPr>
            </w:pPr>
            <w:hyperlink r:id="rId83" w:anchor="40:7.0.1.1.1.90.162" w:history="1">
              <w:r w:rsidRPr="000E6505">
                <w:rPr>
                  <w:rFonts w:ascii="Arial" w:eastAsia="Times New Roman" w:hAnsi="Arial" w:cs="Arial"/>
                  <w:smallCaps/>
                  <w:color w:val="0000FF"/>
                  <w:sz w:val="17"/>
                </w:rPr>
                <w:t>Recordkeeping</w:t>
              </w:r>
            </w:hyperlink>
          </w:p>
          <w:p w:rsidR="000E6505" w:rsidRPr="000E6505" w:rsidRDefault="000E6505" w:rsidP="000E6505">
            <w:pPr>
              <w:spacing w:after="0" w:line="240" w:lineRule="auto"/>
              <w:rPr>
                <w:rFonts w:ascii="Arial" w:eastAsia="Times New Roman" w:hAnsi="Arial" w:cs="Arial"/>
                <w:sz w:val="20"/>
              </w:rPr>
            </w:pPr>
            <w:hyperlink r:id="rId84" w:anchor="40:7.0.1.1.1.90.162.69" w:history="1">
              <w:r w:rsidRPr="000E6505">
                <w:rPr>
                  <w:rFonts w:ascii="Arial" w:eastAsia="Times New Roman" w:hAnsi="Arial" w:cs="Arial"/>
                  <w:color w:val="0000FF"/>
                  <w:sz w:val="17"/>
                </w:rPr>
                <w:t>§60.1340   What records must I keep?</w:t>
              </w:r>
            </w:hyperlink>
            <w:r w:rsidRPr="000E6505">
              <w:rPr>
                <w:rFonts w:ascii="Arial" w:eastAsia="Times New Roman" w:hAnsi="Arial" w:cs="Arial"/>
                <w:sz w:val="20"/>
              </w:rPr>
              <w:br/>
            </w:r>
            <w:hyperlink r:id="rId85" w:anchor="40:7.0.1.1.1.90.162.70" w:history="1">
              <w:r w:rsidRPr="000E6505">
                <w:rPr>
                  <w:rFonts w:ascii="Arial" w:eastAsia="Times New Roman" w:hAnsi="Arial" w:cs="Arial"/>
                  <w:color w:val="0000FF"/>
                  <w:sz w:val="17"/>
                </w:rPr>
                <w:t>§60.1345   Where must I keep my records and for how long?</w:t>
              </w:r>
            </w:hyperlink>
            <w:r w:rsidRPr="000E6505">
              <w:rPr>
                <w:rFonts w:ascii="Arial" w:eastAsia="Times New Roman" w:hAnsi="Arial" w:cs="Arial"/>
                <w:sz w:val="20"/>
              </w:rPr>
              <w:br/>
            </w:r>
            <w:hyperlink r:id="rId86" w:anchor="40:7.0.1.1.1.90.162.71" w:history="1">
              <w:r w:rsidRPr="000E6505">
                <w:rPr>
                  <w:rFonts w:ascii="Arial" w:eastAsia="Times New Roman" w:hAnsi="Arial" w:cs="Arial"/>
                  <w:color w:val="0000FF"/>
                  <w:sz w:val="17"/>
                </w:rPr>
                <w:t>§60.1350   What records must I keep for the materials separation plan and siting analysis?</w:t>
              </w:r>
            </w:hyperlink>
            <w:r w:rsidRPr="000E6505">
              <w:rPr>
                <w:rFonts w:ascii="Arial" w:eastAsia="Times New Roman" w:hAnsi="Arial" w:cs="Arial"/>
                <w:sz w:val="20"/>
              </w:rPr>
              <w:br/>
            </w:r>
            <w:hyperlink r:id="rId87" w:anchor="40:7.0.1.1.1.90.162.72" w:history="1">
              <w:r w:rsidRPr="000E6505">
                <w:rPr>
                  <w:rFonts w:ascii="Arial" w:eastAsia="Times New Roman" w:hAnsi="Arial" w:cs="Arial"/>
                  <w:color w:val="0000FF"/>
                  <w:sz w:val="17"/>
                </w:rPr>
                <w:t>§60.1355   What records must I keep for operator training and certification?</w:t>
              </w:r>
            </w:hyperlink>
            <w:r w:rsidRPr="000E6505">
              <w:rPr>
                <w:rFonts w:ascii="Arial" w:eastAsia="Times New Roman" w:hAnsi="Arial" w:cs="Arial"/>
                <w:sz w:val="20"/>
              </w:rPr>
              <w:br/>
            </w:r>
            <w:hyperlink r:id="rId88" w:anchor="40:7.0.1.1.1.90.162.73" w:history="1">
              <w:r w:rsidRPr="000E6505">
                <w:rPr>
                  <w:rFonts w:ascii="Arial" w:eastAsia="Times New Roman" w:hAnsi="Arial" w:cs="Arial"/>
                  <w:color w:val="0000FF"/>
                  <w:sz w:val="17"/>
                </w:rPr>
                <w:t>§60.1360   What records must I keep for stack tests?</w:t>
              </w:r>
            </w:hyperlink>
            <w:r w:rsidRPr="000E6505">
              <w:rPr>
                <w:rFonts w:ascii="Arial" w:eastAsia="Times New Roman" w:hAnsi="Arial" w:cs="Arial"/>
                <w:sz w:val="20"/>
              </w:rPr>
              <w:br/>
            </w:r>
            <w:hyperlink r:id="rId89" w:anchor="40:7.0.1.1.1.90.162.74" w:history="1">
              <w:r w:rsidRPr="000E6505">
                <w:rPr>
                  <w:rFonts w:ascii="Arial" w:eastAsia="Times New Roman" w:hAnsi="Arial" w:cs="Arial"/>
                  <w:color w:val="0000FF"/>
                  <w:sz w:val="17"/>
                </w:rPr>
                <w:t>§60.1365   What records must I keep for continuously monitored pollutants or parameters?</w:t>
              </w:r>
            </w:hyperlink>
            <w:r w:rsidRPr="000E6505">
              <w:rPr>
                <w:rFonts w:ascii="Arial" w:eastAsia="Times New Roman" w:hAnsi="Arial" w:cs="Arial"/>
                <w:sz w:val="20"/>
              </w:rPr>
              <w:br/>
            </w:r>
            <w:hyperlink r:id="rId90" w:anchor="40:7.0.1.1.1.90.162.75" w:history="1">
              <w:r w:rsidRPr="000E6505">
                <w:rPr>
                  <w:rFonts w:ascii="Arial" w:eastAsia="Times New Roman" w:hAnsi="Arial" w:cs="Arial"/>
                  <w:color w:val="0000FF"/>
                  <w:sz w:val="17"/>
                </w:rPr>
                <w:t>§60.1370   What records must I keep for municipal waste combustion units that use activated carbon?</w:t>
              </w:r>
            </w:hyperlink>
          </w:p>
          <w:p w:rsidR="000E6505" w:rsidRPr="000E6505" w:rsidRDefault="000E6505" w:rsidP="000E6505">
            <w:pPr>
              <w:spacing w:after="100" w:afterAutospacing="1" w:line="240" w:lineRule="auto"/>
              <w:rPr>
                <w:rFonts w:ascii="Arial" w:eastAsia="Times New Roman" w:hAnsi="Arial" w:cs="Arial"/>
                <w:smallCaps/>
                <w:sz w:val="20"/>
              </w:rPr>
            </w:pPr>
            <w:hyperlink r:id="rId91" w:anchor="40:7.0.1.1.1.90.163" w:history="1">
              <w:r w:rsidRPr="000E6505">
                <w:rPr>
                  <w:rFonts w:ascii="Arial" w:eastAsia="Times New Roman" w:hAnsi="Arial" w:cs="Arial"/>
                  <w:smallCaps/>
                  <w:color w:val="0000FF"/>
                  <w:sz w:val="17"/>
                </w:rPr>
                <w:t>Reporting</w:t>
              </w:r>
            </w:hyperlink>
          </w:p>
          <w:p w:rsidR="000E6505" w:rsidRPr="000E6505" w:rsidRDefault="000E6505" w:rsidP="000E6505">
            <w:pPr>
              <w:spacing w:after="0" w:line="240" w:lineRule="auto"/>
              <w:rPr>
                <w:rFonts w:ascii="Arial" w:eastAsia="Times New Roman" w:hAnsi="Arial" w:cs="Arial"/>
                <w:sz w:val="20"/>
              </w:rPr>
            </w:pPr>
            <w:hyperlink r:id="rId92" w:anchor="40:7.0.1.1.1.90.163.76" w:history="1">
              <w:r w:rsidRPr="000E6505">
                <w:rPr>
                  <w:rFonts w:ascii="Arial" w:eastAsia="Times New Roman" w:hAnsi="Arial" w:cs="Arial"/>
                  <w:color w:val="0000FF"/>
                  <w:sz w:val="17"/>
                </w:rPr>
                <w:t>§60.1375   What reports must I submit before I submit my notice of construction?</w:t>
              </w:r>
            </w:hyperlink>
            <w:r w:rsidRPr="000E6505">
              <w:rPr>
                <w:rFonts w:ascii="Arial" w:eastAsia="Times New Roman" w:hAnsi="Arial" w:cs="Arial"/>
                <w:sz w:val="20"/>
              </w:rPr>
              <w:br/>
            </w:r>
            <w:hyperlink r:id="rId93" w:anchor="40:7.0.1.1.1.90.163.77" w:history="1">
              <w:r w:rsidRPr="000E6505">
                <w:rPr>
                  <w:rFonts w:ascii="Arial" w:eastAsia="Times New Roman" w:hAnsi="Arial" w:cs="Arial"/>
                  <w:color w:val="0000FF"/>
                  <w:sz w:val="17"/>
                </w:rPr>
                <w:t>§60.1380   What must I include in my notice of construction?</w:t>
              </w:r>
            </w:hyperlink>
            <w:r w:rsidRPr="000E6505">
              <w:rPr>
                <w:rFonts w:ascii="Arial" w:eastAsia="Times New Roman" w:hAnsi="Arial" w:cs="Arial"/>
                <w:sz w:val="20"/>
              </w:rPr>
              <w:br/>
            </w:r>
            <w:hyperlink r:id="rId94" w:anchor="40:7.0.1.1.1.90.163.78" w:history="1">
              <w:r w:rsidRPr="000E6505">
                <w:rPr>
                  <w:rFonts w:ascii="Arial" w:eastAsia="Times New Roman" w:hAnsi="Arial" w:cs="Arial"/>
                  <w:color w:val="0000FF"/>
                  <w:sz w:val="17"/>
                </w:rPr>
                <w:t>§60.1385   What reports must I submit after I submit my notice of construction and in what form?</w:t>
              </w:r>
            </w:hyperlink>
            <w:r w:rsidRPr="000E6505">
              <w:rPr>
                <w:rFonts w:ascii="Arial" w:eastAsia="Times New Roman" w:hAnsi="Arial" w:cs="Arial"/>
                <w:sz w:val="20"/>
              </w:rPr>
              <w:br/>
            </w:r>
            <w:hyperlink r:id="rId95" w:anchor="40:7.0.1.1.1.90.163.79" w:history="1">
              <w:r w:rsidRPr="000E6505">
                <w:rPr>
                  <w:rFonts w:ascii="Arial" w:eastAsia="Times New Roman" w:hAnsi="Arial" w:cs="Arial"/>
                  <w:color w:val="0000FF"/>
                  <w:sz w:val="17"/>
                </w:rPr>
                <w:t>§60.1390   What are the appropriate units of measurement for reporting my data?</w:t>
              </w:r>
            </w:hyperlink>
            <w:r w:rsidRPr="000E6505">
              <w:rPr>
                <w:rFonts w:ascii="Arial" w:eastAsia="Times New Roman" w:hAnsi="Arial" w:cs="Arial"/>
                <w:sz w:val="20"/>
              </w:rPr>
              <w:br/>
            </w:r>
            <w:hyperlink r:id="rId96" w:anchor="40:7.0.1.1.1.90.163.80" w:history="1">
              <w:r w:rsidRPr="000E6505">
                <w:rPr>
                  <w:rFonts w:ascii="Arial" w:eastAsia="Times New Roman" w:hAnsi="Arial" w:cs="Arial"/>
                  <w:color w:val="0000FF"/>
                  <w:sz w:val="17"/>
                </w:rPr>
                <w:t>§60.1395   When must I submit the initial report?</w:t>
              </w:r>
            </w:hyperlink>
            <w:r w:rsidRPr="000E6505">
              <w:rPr>
                <w:rFonts w:ascii="Arial" w:eastAsia="Times New Roman" w:hAnsi="Arial" w:cs="Arial"/>
                <w:sz w:val="20"/>
              </w:rPr>
              <w:br/>
            </w:r>
            <w:hyperlink r:id="rId97" w:anchor="40:7.0.1.1.1.90.163.81" w:history="1">
              <w:r w:rsidRPr="000E6505">
                <w:rPr>
                  <w:rFonts w:ascii="Arial" w:eastAsia="Times New Roman" w:hAnsi="Arial" w:cs="Arial"/>
                  <w:color w:val="0000FF"/>
                  <w:sz w:val="17"/>
                </w:rPr>
                <w:t>§60.1400   What must I include in my initial report?</w:t>
              </w:r>
            </w:hyperlink>
            <w:r w:rsidRPr="000E6505">
              <w:rPr>
                <w:rFonts w:ascii="Arial" w:eastAsia="Times New Roman" w:hAnsi="Arial" w:cs="Arial"/>
                <w:sz w:val="20"/>
              </w:rPr>
              <w:br/>
            </w:r>
            <w:hyperlink r:id="rId98" w:anchor="40:7.0.1.1.1.90.163.82" w:history="1">
              <w:r w:rsidRPr="000E6505">
                <w:rPr>
                  <w:rFonts w:ascii="Arial" w:eastAsia="Times New Roman" w:hAnsi="Arial" w:cs="Arial"/>
                  <w:color w:val="0000FF"/>
                  <w:sz w:val="17"/>
                </w:rPr>
                <w:t>§60.1405   When must I submit the annual report?</w:t>
              </w:r>
            </w:hyperlink>
            <w:r w:rsidRPr="000E6505">
              <w:rPr>
                <w:rFonts w:ascii="Arial" w:eastAsia="Times New Roman" w:hAnsi="Arial" w:cs="Arial"/>
                <w:sz w:val="20"/>
              </w:rPr>
              <w:br/>
            </w:r>
            <w:hyperlink r:id="rId99" w:anchor="40:7.0.1.1.1.90.163.83" w:history="1">
              <w:r w:rsidRPr="000E6505">
                <w:rPr>
                  <w:rFonts w:ascii="Arial" w:eastAsia="Times New Roman" w:hAnsi="Arial" w:cs="Arial"/>
                  <w:color w:val="0000FF"/>
                  <w:sz w:val="17"/>
                </w:rPr>
                <w:t>§60.1410   What must I include in my annual report?</w:t>
              </w:r>
            </w:hyperlink>
            <w:r w:rsidRPr="000E6505">
              <w:rPr>
                <w:rFonts w:ascii="Arial" w:eastAsia="Times New Roman" w:hAnsi="Arial" w:cs="Arial"/>
                <w:sz w:val="20"/>
              </w:rPr>
              <w:br/>
            </w:r>
            <w:hyperlink r:id="rId100" w:anchor="40:7.0.1.1.1.90.163.84" w:history="1">
              <w:r w:rsidRPr="000E6505">
                <w:rPr>
                  <w:rFonts w:ascii="Arial" w:eastAsia="Times New Roman" w:hAnsi="Arial" w:cs="Arial"/>
                  <w:color w:val="0000FF"/>
                  <w:sz w:val="17"/>
                </w:rPr>
                <w:t>§60.1415   What must I do if I am out of compliance with the requirements of this subpart?</w:t>
              </w:r>
            </w:hyperlink>
            <w:r w:rsidRPr="000E6505">
              <w:rPr>
                <w:rFonts w:ascii="Arial" w:eastAsia="Times New Roman" w:hAnsi="Arial" w:cs="Arial"/>
                <w:sz w:val="20"/>
              </w:rPr>
              <w:br/>
            </w:r>
            <w:hyperlink r:id="rId101" w:anchor="40:7.0.1.1.1.90.163.85" w:history="1">
              <w:r w:rsidRPr="000E6505">
                <w:rPr>
                  <w:rFonts w:ascii="Arial" w:eastAsia="Times New Roman" w:hAnsi="Arial" w:cs="Arial"/>
                  <w:color w:val="0000FF"/>
                  <w:sz w:val="17"/>
                </w:rPr>
                <w:t>§60.1420   If a semiannual report is required, when must I submit it?</w:t>
              </w:r>
            </w:hyperlink>
            <w:r w:rsidRPr="000E6505">
              <w:rPr>
                <w:rFonts w:ascii="Arial" w:eastAsia="Times New Roman" w:hAnsi="Arial" w:cs="Arial"/>
                <w:sz w:val="20"/>
              </w:rPr>
              <w:br/>
            </w:r>
            <w:hyperlink r:id="rId102" w:anchor="40:7.0.1.1.1.90.163.86" w:history="1">
              <w:r w:rsidRPr="000E6505">
                <w:rPr>
                  <w:rFonts w:ascii="Arial" w:eastAsia="Times New Roman" w:hAnsi="Arial" w:cs="Arial"/>
                  <w:color w:val="0000FF"/>
                  <w:sz w:val="17"/>
                </w:rPr>
                <w:t>§60.1425   What must I include in the semiannual out-of-compliance reports?</w:t>
              </w:r>
            </w:hyperlink>
            <w:r w:rsidRPr="000E6505">
              <w:rPr>
                <w:rFonts w:ascii="Arial" w:eastAsia="Times New Roman" w:hAnsi="Arial" w:cs="Arial"/>
                <w:sz w:val="20"/>
              </w:rPr>
              <w:br/>
            </w:r>
            <w:hyperlink r:id="rId103" w:anchor="40:7.0.1.1.1.90.163.87" w:history="1">
              <w:r w:rsidRPr="000E6505">
                <w:rPr>
                  <w:rFonts w:ascii="Arial" w:eastAsia="Times New Roman" w:hAnsi="Arial" w:cs="Arial"/>
                  <w:color w:val="0000FF"/>
                  <w:sz w:val="17"/>
                </w:rPr>
                <w:t>§60.1430   Can reporting dates be changed?</w:t>
              </w:r>
            </w:hyperlink>
          </w:p>
          <w:p w:rsidR="000E6505" w:rsidRPr="000E6505" w:rsidRDefault="000E6505" w:rsidP="000E6505">
            <w:pPr>
              <w:spacing w:after="100" w:afterAutospacing="1" w:line="240" w:lineRule="auto"/>
              <w:rPr>
                <w:rFonts w:ascii="Arial" w:eastAsia="Times New Roman" w:hAnsi="Arial" w:cs="Arial"/>
                <w:smallCaps/>
                <w:sz w:val="20"/>
              </w:rPr>
            </w:pPr>
            <w:hyperlink r:id="rId104" w:anchor="40:7.0.1.1.1.90.164" w:history="1">
              <w:r w:rsidRPr="000E6505">
                <w:rPr>
                  <w:rFonts w:ascii="Arial" w:eastAsia="Times New Roman" w:hAnsi="Arial" w:cs="Arial"/>
                  <w:smallCaps/>
                  <w:color w:val="0000FF"/>
                  <w:sz w:val="17"/>
                </w:rPr>
                <w:t>Air Curtain Incinerators that Burn 100 Percent Yard Waste</w:t>
              </w:r>
            </w:hyperlink>
          </w:p>
          <w:p w:rsidR="000E6505" w:rsidRPr="000E6505" w:rsidRDefault="000E6505" w:rsidP="000E6505">
            <w:pPr>
              <w:spacing w:after="0" w:line="240" w:lineRule="auto"/>
              <w:rPr>
                <w:rFonts w:ascii="Arial" w:eastAsia="Times New Roman" w:hAnsi="Arial" w:cs="Arial"/>
                <w:color w:val="0000FF"/>
                <w:sz w:val="20"/>
              </w:rPr>
            </w:pPr>
            <w:hyperlink r:id="rId105" w:anchor="40:7.0.1.1.1.90.164.88" w:history="1">
              <w:r w:rsidRPr="000E6505">
                <w:rPr>
                  <w:rFonts w:ascii="Arial" w:eastAsia="Times New Roman" w:hAnsi="Arial" w:cs="Arial"/>
                  <w:color w:val="0000FF"/>
                  <w:sz w:val="17"/>
                </w:rPr>
                <w:t>§60.1435   What is an air curtain incinerator?</w:t>
              </w:r>
            </w:hyperlink>
            <w:r w:rsidRPr="000E6505">
              <w:rPr>
                <w:rFonts w:ascii="Arial" w:eastAsia="Times New Roman" w:hAnsi="Arial" w:cs="Arial"/>
                <w:color w:val="0000FF"/>
                <w:sz w:val="20"/>
              </w:rPr>
              <w:br/>
            </w:r>
            <w:hyperlink r:id="rId106" w:anchor="40:7.0.1.1.1.90.164.89" w:history="1">
              <w:r w:rsidRPr="000E6505">
                <w:rPr>
                  <w:rFonts w:ascii="Arial" w:eastAsia="Times New Roman" w:hAnsi="Arial" w:cs="Arial"/>
                  <w:color w:val="0000FF"/>
                  <w:sz w:val="17"/>
                </w:rPr>
                <w:t>§60.1440   What is yard waste?</w:t>
              </w:r>
            </w:hyperlink>
            <w:r w:rsidRPr="000E6505">
              <w:rPr>
                <w:rFonts w:ascii="Arial" w:eastAsia="Times New Roman" w:hAnsi="Arial" w:cs="Arial"/>
                <w:color w:val="0000FF"/>
                <w:sz w:val="20"/>
              </w:rPr>
              <w:br/>
            </w:r>
            <w:hyperlink r:id="rId107" w:anchor="40:7.0.1.1.1.90.164.90" w:history="1">
              <w:r w:rsidRPr="000E6505">
                <w:rPr>
                  <w:rFonts w:ascii="Arial" w:eastAsia="Times New Roman" w:hAnsi="Arial" w:cs="Arial"/>
                  <w:color w:val="0000FF"/>
                  <w:sz w:val="17"/>
                </w:rPr>
                <w:t>§60.1445   What are the emission limits for air curtain incinerators that burn 100 percent yard waste?</w:t>
              </w:r>
            </w:hyperlink>
            <w:r w:rsidRPr="000E6505">
              <w:rPr>
                <w:rFonts w:ascii="Arial" w:eastAsia="Times New Roman" w:hAnsi="Arial" w:cs="Arial"/>
                <w:color w:val="0000FF"/>
                <w:sz w:val="20"/>
              </w:rPr>
              <w:br/>
            </w:r>
            <w:hyperlink r:id="rId108" w:anchor="40:7.0.1.1.1.90.164.91" w:history="1">
              <w:r w:rsidRPr="000E6505">
                <w:rPr>
                  <w:rFonts w:ascii="Arial" w:eastAsia="Times New Roman" w:hAnsi="Arial" w:cs="Arial"/>
                  <w:color w:val="0000FF"/>
                  <w:sz w:val="17"/>
                </w:rPr>
                <w:t>§60.1450   How must I monitor opacity for air curtain incinerators that burn 100 percent yard waste?</w:t>
              </w:r>
            </w:hyperlink>
            <w:r w:rsidRPr="000E6505">
              <w:rPr>
                <w:rFonts w:ascii="Arial" w:eastAsia="Times New Roman" w:hAnsi="Arial" w:cs="Arial"/>
                <w:color w:val="0000FF"/>
                <w:sz w:val="20"/>
              </w:rPr>
              <w:br/>
            </w:r>
            <w:hyperlink r:id="rId109" w:anchor="40:7.0.1.1.1.90.164.92" w:history="1">
              <w:r w:rsidRPr="000E6505">
                <w:rPr>
                  <w:rFonts w:ascii="Arial" w:eastAsia="Times New Roman" w:hAnsi="Arial" w:cs="Arial"/>
                  <w:color w:val="0000FF"/>
                  <w:sz w:val="17"/>
                </w:rPr>
                <w:t>§60.1455   What are the recordkeeping and reporting requirements for air curtain incinerators that burn 100 percent yard waste?</w:t>
              </w:r>
            </w:hyperlink>
          </w:p>
          <w:p w:rsidR="000E6505" w:rsidRPr="000E6505" w:rsidRDefault="000E6505" w:rsidP="000E6505">
            <w:pPr>
              <w:spacing w:after="100" w:afterAutospacing="1" w:line="240" w:lineRule="auto"/>
              <w:rPr>
                <w:rFonts w:ascii="Arial" w:eastAsia="Times New Roman" w:hAnsi="Arial" w:cs="Arial"/>
                <w:smallCaps/>
                <w:color w:val="0000FF"/>
                <w:sz w:val="20"/>
              </w:rPr>
            </w:pPr>
            <w:hyperlink r:id="rId110" w:anchor="40:7.0.1.1.1.90.165" w:history="1">
              <w:r w:rsidRPr="000E6505">
                <w:rPr>
                  <w:rFonts w:ascii="Arial" w:eastAsia="Times New Roman" w:hAnsi="Arial" w:cs="Arial"/>
                  <w:smallCaps/>
                  <w:color w:val="0000FF"/>
                  <w:sz w:val="17"/>
                </w:rPr>
                <w:t>Equations</w:t>
              </w:r>
            </w:hyperlink>
          </w:p>
          <w:p w:rsidR="000E6505" w:rsidRPr="000E6505" w:rsidRDefault="000E6505" w:rsidP="000E6505">
            <w:pPr>
              <w:spacing w:after="0" w:line="240" w:lineRule="auto"/>
              <w:rPr>
                <w:rFonts w:ascii="Arial" w:eastAsia="Times New Roman" w:hAnsi="Arial" w:cs="Arial"/>
                <w:color w:val="0000FF"/>
                <w:sz w:val="20"/>
              </w:rPr>
            </w:pPr>
            <w:hyperlink r:id="rId111" w:anchor="40:7.0.1.1.1.90.165.93" w:history="1">
              <w:r w:rsidRPr="000E6505">
                <w:rPr>
                  <w:rFonts w:ascii="Arial" w:eastAsia="Times New Roman" w:hAnsi="Arial" w:cs="Arial"/>
                  <w:color w:val="0000FF"/>
                  <w:sz w:val="17"/>
                </w:rPr>
                <w:t>§60.1460   What equations must I use?</w:t>
              </w:r>
            </w:hyperlink>
          </w:p>
          <w:p w:rsidR="000E6505" w:rsidRPr="000E6505" w:rsidRDefault="000E6505" w:rsidP="000E6505">
            <w:pPr>
              <w:spacing w:after="100" w:afterAutospacing="1" w:line="240" w:lineRule="auto"/>
              <w:rPr>
                <w:rFonts w:ascii="Arial" w:eastAsia="Times New Roman" w:hAnsi="Arial" w:cs="Arial"/>
                <w:smallCaps/>
                <w:color w:val="0000FF"/>
                <w:sz w:val="20"/>
              </w:rPr>
            </w:pPr>
            <w:hyperlink r:id="rId112" w:anchor="40:7.0.1.1.1.90.166" w:history="1">
              <w:r w:rsidRPr="000E6505">
                <w:rPr>
                  <w:rFonts w:ascii="Arial" w:eastAsia="Times New Roman" w:hAnsi="Arial" w:cs="Arial"/>
                  <w:smallCaps/>
                  <w:color w:val="0000FF"/>
                  <w:sz w:val="17"/>
                </w:rPr>
                <w:t>Definitions</w:t>
              </w:r>
            </w:hyperlink>
          </w:p>
          <w:p w:rsidR="000E6505" w:rsidRPr="000E6505" w:rsidRDefault="000E6505" w:rsidP="000E6505">
            <w:pPr>
              <w:spacing w:after="0" w:line="240" w:lineRule="auto"/>
              <w:rPr>
                <w:rFonts w:ascii="Arial" w:eastAsia="Times New Roman" w:hAnsi="Arial" w:cs="Arial"/>
                <w:sz w:val="20"/>
              </w:rPr>
            </w:pPr>
            <w:hyperlink r:id="rId113" w:anchor="40:7.0.1.1.1.90.166.94" w:history="1">
              <w:r w:rsidRPr="000E6505">
                <w:rPr>
                  <w:rFonts w:ascii="Arial" w:eastAsia="Times New Roman" w:hAnsi="Arial" w:cs="Arial"/>
                  <w:color w:val="0000FF"/>
                  <w:sz w:val="17"/>
                </w:rPr>
                <w:t>§60.1465   What definitions must I know?</w:t>
              </w:r>
            </w:hyperlink>
            <w:r w:rsidRPr="000E6505">
              <w:rPr>
                <w:rFonts w:ascii="Arial" w:eastAsia="Times New Roman" w:hAnsi="Arial" w:cs="Arial"/>
                <w:color w:val="0000FF"/>
                <w:sz w:val="20"/>
              </w:rPr>
              <w:br/>
            </w:r>
            <w:hyperlink r:id="rId114" w:anchor="40:7.0.1.1.1.90.167.95.17" w:history="1">
              <w:r w:rsidRPr="000E6505">
                <w:rPr>
                  <w:rFonts w:ascii="Arial" w:eastAsia="Times New Roman" w:hAnsi="Arial" w:cs="Arial"/>
                  <w:color w:val="0000FF"/>
                  <w:sz w:val="17"/>
                </w:rPr>
                <w:t xml:space="preserve">Table 1 to Subpart AAAA of Part 60—Emission Limits for New Small Municipal Waste Combustion Units </w:t>
              </w:r>
            </w:hyperlink>
            <w:r w:rsidRPr="000E6505">
              <w:rPr>
                <w:rFonts w:ascii="Arial" w:eastAsia="Times New Roman" w:hAnsi="Arial" w:cs="Arial"/>
                <w:color w:val="0000FF"/>
                <w:sz w:val="20"/>
              </w:rPr>
              <w:br/>
            </w:r>
            <w:hyperlink r:id="rId115" w:anchor="40:7.0.1.1.1.90.167.95.18" w:history="1">
              <w:r w:rsidRPr="000E6505">
                <w:rPr>
                  <w:rFonts w:ascii="Arial" w:eastAsia="Times New Roman" w:hAnsi="Arial" w:cs="Arial"/>
                  <w:color w:val="0000FF"/>
                  <w:sz w:val="17"/>
                </w:rPr>
                <w:t xml:space="preserve">Table 2 to Subpart AAAA of Part 60—Carbon Monoxide Emission Limits for New Small Municipal Waste Combustion Units </w:t>
              </w:r>
            </w:hyperlink>
            <w:r w:rsidRPr="000E6505">
              <w:rPr>
                <w:rFonts w:ascii="Arial" w:eastAsia="Times New Roman" w:hAnsi="Arial" w:cs="Arial"/>
                <w:color w:val="0000FF"/>
                <w:sz w:val="20"/>
              </w:rPr>
              <w:br/>
            </w:r>
            <w:hyperlink r:id="rId116" w:anchor="40:7.0.1.1.1.90.167.95.19" w:history="1">
              <w:r w:rsidRPr="000E6505">
                <w:rPr>
                  <w:rFonts w:ascii="Arial" w:eastAsia="Times New Roman" w:hAnsi="Arial" w:cs="Arial"/>
                  <w:color w:val="0000FF"/>
                  <w:sz w:val="17"/>
                </w:rPr>
                <w:t xml:space="preserve">Table 3 of Subpart AAAA of Part 60—Requirements for Validating Continuous Emission Monitoring Systems (CEMS) </w:t>
              </w:r>
            </w:hyperlink>
            <w:r w:rsidRPr="000E6505">
              <w:rPr>
                <w:rFonts w:ascii="Arial" w:eastAsia="Times New Roman" w:hAnsi="Arial" w:cs="Arial"/>
                <w:color w:val="0000FF"/>
                <w:sz w:val="20"/>
              </w:rPr>
              <w:br/>
            </w:r>
            <w:hyperlink r:id="rId117" w:anchor="40:7.0.1.1.1.90.167.95.20" w:history="1">
              <w:r w:rsidRPr="000E6505">
                <w:rPr>
                  <w:rFonts w:ascii="Arial" w:eastAsia="Times New Roman" w:hAnsi="Arial" w:cs="Arial"/>
                  <w:color w:val="0000FF"/>
                  <w:sz w:val="17"/>
                </w:rPr>
                <w:t xml:space="preserve">Table 4 of Subpart AAAA of Part 60—Requirements for Continuous Emission Monitoring Systems (CEMS) </w:t>
              </w:r>
            </w:hyperlink>
            <w:r w:rsidRPr="000E6505">
              <w:rPr>
                <w:rFonts w:ascii="Arial" w:eastAsia="Times New Roman" w:hAnsi="Arial" w:cs="Arial"/>
                <w:sz w:val="20"/>
              </w:rPr>
              <w:br/>
            </w:r>
            <w:hyperlink r:id="rId118" w:anchor="40:7.0.1.1.1.90.167.95.21" w:history="1">
              <w:r w:rsidRPr="000E6505">
                <w:rPr>
                  <w:rFonts w:ascii="Arial" w:eastAsia="Times New Roman" w:hAnsi="Arial" w:cs="Arial"/>
                  <w:color w:val="0000FF"/>
                  <w:sz w:val="17"/>
                </w:rPr>
                <w:t xml:space="preserve">Table 5 of Subpart AAAA of Part 60—Requirements for Stack Tests </w:t>
              </w:r>
            </w:hyperlink>
          </w:p>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pict>
                <v:rect id="_x0000_i1026" style="width:0;height:1.5pt" o:hrstd="t" o:hr="t" fillcolor="#aca899" stroked="f"/>
              </w:pict>
            </w:r>
          </w:p>
          <w:p w:rsidR="000E6505" w:rsidRPr="000E6505" w:rsidRDefault="000E6505" w:rsidP="000E6505">
            <w:pPr>
              <w:spacing w:before="200" w:after="100" w:afterAutospacing="1" w:line="240" w:lineRule="auto"/>
              <w:ind w:firstLine="480"/>
              <w:jc w:val="both"/>
              <w:rPr>
                <w:rFonts w:ascii="Arial" w:eastAsia="Times New Roman" w:hAnsi="Arial" w:cs="Arial"/>
                <w:sz w:val="18"/>
                <w:szCs w:val="18"/>
              </w:rPr>
            </w:pPr>
            <w:r w:rsidRPr="000E6505">
              <w:rPr>
                <w:rFonts w:ascii="Arial" w:eastAsia="Times New Roman" w:hAnsi="Arial" w:cs="Arial"/>
                <w:smallCaps/>
                <w:sz w:val="18"/>
                <w:szCs w:val="18"/>
              </w:rPr>
              <w:t>Source:</w:t>
            </w:r>
            <w:r w:rsidRPr="000E6505">
              <w:rPr>
                <w:rFonts w:ascii="Arial" w:eastAsia="Times New Roman" w:hAnsi="Arial" w:cs="Arial"/>
                <w:sz w:val="18"/>
                <w:szCs w:val="18"/>
              </w:rPr>
              <w:t xml:space="preserve"> 65 FR 76355, Dec. 6, 2000, unless otherwise noted. </w:t>
            </w:r>
          </w:p>
          <w:p w:rsidR="000E6505" w:rsidRPr="000E6505" w:rsidRDefault="000E6505" w:rsidP="000E6505">
            <w:pPr>
              <w:spacing w:before="200" w:after="100" w:afterAutospacing="1" w:line="240" w:lineRule="auto"/>
              <w:rPr>
                <w:rFonts w:ascii="Arial" w:eastAsia="Times New Roman" w:hAnsi="Arial" w:cs="Arial"/>
                <w:sz w:val="20"/>
              </w:rPr>
            </w:pPr>
            <w:hyperlink r:id="rId119" w:anchor="_top" w:history="1">
              <w:r>
                <w:rPr>
                  <w:rFonts w:ascii="Arial" w:eastAsia="Times New Roman" w:hAnsi="Arial" w:cs="Arial"/>
                  <w:noProof/>
                  <w:color w:val="0000FF"/>
                  <w:sz w:val="17"/>
                  <w:szCs w:val="17"/>
                </w:rPr>
                <w:drawing>
                  <wp:inline distT="0" distB="0" distL="0" distR="0">
                    <wp:extent cx="152400" cy="152400"/>
                    <wp:effectExtent l="0" t="0" r="0" b="0"/>
                    <wp:docPr id="3" name="Picture 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0" w:name="40:7.0.1.1.1.90.151"/>
            <w:bookmarkEnd w:id="0"/>
            <w:r w:rsidRPr="000E6505">
              <w:rPr>
                <w:rFonts w:ascii="Arial" w:eastAsia="Times New Roman" w:hAnsi="Arial" w:cs="Arial"/>
                <w:b/>
                <w:bCs/>
                <w:smallCaps/>
                <w:sz w:val="27"/>
                <w:szCs w:val="27"/>
              </w:rPr>
              <w:t>Introduction</w:t>
            </w:r>
          </w:p>
          <w:p w:rsidR="000E6505" w:rsidRPr="000E6505" w:rsidRDefault="000E6505" w:rsidP="000E6505">
            <w:pPr>
              <w:spacing w:before="200" w:after="100" w:afterAutospacing="1" w:line="240" w:lineRule="auto"/>
              <w:rPr>
                <w:rFonts w:ascii="Arial" w:eastAsia="Times New Roman" w:hAnsi="Arial" w:cs="Arial"/>
                <w:sz w:val="20"/>
              </w:rPr>
            </w:pPr>
            <w:hyperlink r:id="rId122" w:anchor="_top" w:history="1">
              <w:r>
                <w:rPr>
                  <w:rFonts w:ascii="Arial" w:eastAsia="Times New Roman" w:hAnsi="Arial" w:cs="Arial"/>
                  <w:noProof/>
                  <w:color w:val="0000FF"/>
                  <w:sz w:val="17"/>
                  <w:szCs w:val="17"/>
                </w:rPr>
                <w:drawing>
                  <wp:inline distT="0" distB="0" distL="0" distR="0">
                    <wp:extent cx="152400" cy="152400"/>
                    <wp:effectExtent l="0" t="0" r="0" b="0"/>
                    <wp:docPr id="4" name="Picture 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 w:name="40:7.0.1.1.1.90.151.1"/>
            <w:bookmarkEnd w:id="1"/>
            <w:r w:rsidRPr="000E6505">
              <w:rPr>
                <w:rFonts w:ascii="Arial" w:eastAsia="Times New Roman" w:hAnsi="Arial" w:cs="Arial"/>
                <w:b/>
                <w:bCs/>
                <w:sz w:val="20"/>
              </w:rPr>
              <w:t>§60.1000   What does this subpart do?</w:t>
            </w:r>
          </w:p>
          <w:p w:rsidR="000E6505" w:rsidRPr="000E6505" w:rsidRDefault="000E6505" w:rsidP="001D7193">
            <w:pPr>
              <w:spacing w:before="100" w:beforeAutospacing="1" w:after="100" w:afterAutospacing="1" w:line="240" w:lineRule="auto"/>
              <w:jc w:val="both"/>
              <w:rPr>
                <w:rFonts w:ascii="Arial" w:eastAsia="Times New Roman" w:hAnsi="Arial" w:cs="Arial"/>
                <w:sz w:val="20"/>
              </w:rPr>
            </w:pPr>
            <w:r w:rsidRPr="000E6505">
              <w:rPr>
                <w:rFonts w:ascii="Arial" w:eastAsia="Times New Roman" w:hAnsi="Arial" w:cs="Arial"/>
                <w:sz w:val="20"/>
              </w:rPr>
              <w:t xml:space="preserve">This subpart establishes new source performance standards for new small municipal waste combustion units. </w:t>
            </w:r>
          </w:p>
          <w:p w:rsidR="000E6505" w:rsidRPr="000E6505" w:rsidRDefault="000E6505" w:rsidP="000E6505">
            <w:pPr>
              <w:spacing w:before="200" w:after="100" w:afterAutospacing="1" w:line="240" w:lineRule="auto"/>
              <w:rPr>
                <w:rFonts w:ascii="Arial" w:eastAsia="Times New Roman" w:hAnsi="Arial" w:cs="Arial"/>
                <w:sz w:val="20"/>
              </w:rPr>
            </w:pPr>
            <w:hyperlink r:id="rId123" w:anchor="_top" w:history="1">
              <w:r>
                <w:rPr>
                  <w:rFonts w:ascii="Arial" w:eastAsia="Times New Roman" w:hAnsi="Arial" w:cs="Arial"/>
                  <w:noProof/>
                  <w:color w:val="0000FF"/>
                  <w:sz w:val="17"/>
                  <w:szCs w:val="17"/>
                </w:rPr>
                <w:drawing>
                  <wp:inline distT="0" distB="0" distL="0" distR="0">
                    <wp:extent cx="152400" cy="152400"/>
                    <wp:effectExtent l="0" t="0" r="0" b="0"/>
                    <wp:docPr id="5" name="Picture 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 w:name="40:7.0.1.1.1.90.151.2"/>
            <w:bookmarkEnd w:id="2"/>
            <w:r w:rsidRPr="000E6505">
              <w:rPr>
                <w:rFonts w:ascii="Arial" w:eastAsia="Times New Roman" w:hAnsi="Arial" w:cs="Arial"/>
                <w:b/>
                <w:bCs/>
                <w:sz w:val="20"/>
              </w:rPr>
              <w:t>§60.1005   When does this subpart become effective?</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This subpart takes effect June 6, 2001. Some of the requirements in this subpart apply to municipal waste combustion unit planning and must be completed before construction is commenced on the municipal waste combustion unit. In particular, the preconstruction requirements in §§60.1050 through 60.1150 must be completed prior to commencing construction. Other requirements (such as the emission limits) apply when the municipal waste combustion unit begins operation. </w:t>
            </w:r>
          </w:p>
          <w:p w:rsidR="000E6505" w:rsidRPr="000E6505" w:rsidRDefault="000E6505" w:rsidP="000E6505">
            <w:pPr>
              <w:spacing w:before="200" w:after="100" w:afterAutospacing="1" w:line="240" w:lineRule="auto"/>
              <w:rPr>
                <w:rFonts w:ascii="Arial" w:eastAsia="Times New Roman" w:hAnsi="Arial" w:cs="Arial"/>
                <w:sz w:val="20"/>
              </w:rPr>
            </w:pPr>
            <w:hyperlink r:id="rId124" w:anchor="_top" w:history="1">
              <w:r>
                <w:rPr>
                  <w:rFonts w:ascii="Arial" w:eastAsia="Times New Roman" w:hAnsi="Arial" w:cs="Arial"/>
                  <w:noProof/>
                  <w:color w:val="0000FF"/>
                  <w:sz w:val="17"/>
                  <w:szCs w:val="17"/>
                </w:rPr>
                <w:drawing>
                  <wp:inline distT="0" distB="0" distL="0" distR="0">
                    <wp:extent cx="152400" cy="152400"/>
                    <wp:effectExtent l="0" t="0" r="0" b="0"/>
                    <wp:docPr id="6" name="Picture 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3" w:name="40:7.0.1.1.1.90.152"/>
            <w:bookmarkEnd w:id="3"/>
            <w:r w:rsidRPr="000E6505">
              <w:rPr>
                <w:rFonts w:ascii="Arial" w:eastAsia="Times New Roman" w:hAnsi="Arial" w:cs="Arial"/>
                <w:b/>
                <w:bCs/>
                <w:smallCaps/>
                <w:sz w:val="27"/>
                <w:szCs w:val="27"/>
              </w:rPr>
              <w:t>Applicability</w:t>
            </w:r>
          </w:p>
          <w:p w:rsidR="000E6505" w:rsidRPr="000E6505" w:rsidRDefault="000E6505" w:rsidP="000E6505">
            <w:pPr>
              <w:spacing w:before="200" w:after="100" w:afterAutospacing="1" w:line="240" w:lineRule="auto"/>
              <w:rPr>
                <w:rFonts w:ascii="Arial" w:eastAsia="Times New Roman" w:hAnsi="Arial" w:cs="Arial"/>
                <w:sz w:val="20"/>
              </w:rPr>
            </w:pPr>
            <w:hyperlink r:id="rId125" w:anchor="_top" w:history="1">
              <w:r>
                <w:rPr>
                  <w:rFonts w:ascii="Arial" w:eastAsia="Times New Roman" w:hAnsi="Arial" w:cs="Arial"/>
                  <w:noProof/>
                  <w:color w:val="0000FF"/>
                  <w:sz w:val="17"/>
                  <w:szCs w:val="17"/>
                </w:rPr>
                <w:drawing>
                  <wp:inline distT="0" distB="0" distL="0" distR="0">
                    <wp:extent cx="152400" cy="152400"/>
                    <wp:effectExtent l="0" t="0" r="0" b="0"/>
                    <wp:docPr id="7" name="Picture 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 w:name="40:7.0.1.1.1.90.152.3"/>
            <w:bookmarkEnd w:id="4"/>
            <w:r w:rsidRPr="000E6505">
              <w:rPr>
                <w:rFonts w:ascii="Arial" w:eastAsia="Times New Roman" w:hAnsi="Arial" w:cs="Arial"/>
                <w:b/>
                <w:bCs/>
                <w:sz w:val="20"/>
              </w:rPr>
              <w:t>§60.1010   Does this subpart apply to my municipal waste combustion unit?</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Yes, if your municipal waste combustion unit meets two criteria: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Your municipal waste combustion unit is a new municipal waste combustion unit.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Your municipal waste combustion unit has the capacity to combust at least 35 tons per day but no more than 250 tons per day of municipal solid waste or refuse-derived fuel. </w:t>
            </w:r>
          </w:p>
          <w:p w:rsidR="000E6505" w:rsidRPr="000E6505" w:rsidRDefault="000E6505" w:rsidP="000E6505">
            <w:pPr>
              <w:spacing w:before="200" w:after="100" w:afterAutospacing="1" w:line="240" w:lineRule="auto"/>
              <w:rPr>
                <w:rFonts w:ascii="Arial" w:eastAsia="Times New Roman" w:hAnsi="Arial" w:cs="Arial"/>
                <w:sz w:val="20"/>
              </w:rPr>
            </w:pPr>
            <w:hyperlink r:id="rId126" w:anchor="_top" w:history="1">
              <w:r>
                <w:rPr>
                  <w:rFonts w:ascii="Arial" w:eastAsia="Times New Roman" w:hAnsi="Arial" w:cs="Arial"/>
                  <w:noProof/>
                  <w:color w:val="0000FF"/>
                  <w:sz w:val="17"/>
                  <w:szCs w:val="17"/>
                </w:rPr>
                <w:drawing>
                  <wp:inline distT="0" distB="0" distL="0" distR="0">
                    <wp:extent cx="152400" cy="152400"/>
                    <wp:effectExtent l="0" t="0" r="0" b="0"/>
                    <wp:docPr id="8" name="Picture 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 w:name="40:7.0.1.1.1.90.152.4"/>
            <w:bookmarkEnd w:id="5"/>
            <w:r w:rsidRPr="000E6505">
              <w:rPr>
                <w:rFonts w:ascii="Arial" w:eastAsia="Times New Roman" w:hAnsi="Arial" w:cs="Arial"/>
                <w:b/>
                <w:bCs/>
                <w:sz w:val="20"/>
              </w:rPr>
              <w:t>§60.1015   What is a new municipal waste combustion unit?</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A new municipal waste combustion unit is a municipal waste combustion unit that meets either of two criteria: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Commenced construction after August 30, 1999.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Commenced reconstruction or modification after June 6, 2001.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This subpart does not apply to your municipal waste combustion unit if you make physical or operational changes to an existing municipal waste combustion unit primarily to comply with the emission guidelines in subpart BBBB of this part. Such changes do not qualify as reconstruction or modification under this subpart. </w:t>
            </w:r>
          </w:p>
          <w:p w:rsidR="000E6505" w:rsidRPr="000E6505" w:rsidRDefault="000E6505" w:rsidP="000E6505">
            <w:pPr>
              <w:spacing w:before="200" w:after="100" w:afterAutospacing="1" w:line="240" w:lineRule="auto"/>
              <w:rPr>
                <w:rFonts w:ascii="Arial" w:eastAsia="Times New Roman" w:hAnsi="Arial" w:cs="Arial"/>
                <w:sz w:val="20"/>
              </w:rPr>
            </w:pPr>
            <w:hyperlink r:id="rId127" w:anchor="_top" w:history="1">
              <w:r>
                <w:rPr>
                  <w:rFonts w:ascii="Arial" w:eastAsia="Times New Roman" w:hAnsi="Arial" w:cs="Arial"/>
                  <w:noProof/>
                  <w:color w:val="0000FF"/>
                  <w:sz w:val="17"/>
                  <w:szCs w:val="17"/>
                </w:rPr>
                <w:drawing>
                  <wp:inline distT="0" distB="0" distL="0" distR="0">
                    <wp:extent cx="152400" cy="152400"/>
                    <wp:effectExtent l="0" t="0" r="0" b="0"/>
                    <wp:docPr id="9" name="Picture 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 w:name="40:7.0.1.1.1.90.152.5"/>
            <w:bookmarkEnd w:id="6"/>
            <w:r w:rsidRPr="000E6505">
              <w:rPr>
                <w:rFonts w:ascii="Arial" w:eastAsia="Times New Roman" w:hAnsi="Arial" w:cs="Arial"/>
                <w:b/>
                <w:bCs/>
                <w:sz w:val="20"/>
              </w:rPr>
              <w:t>§60.1020   Does this subpart allow any exemptions?</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w:t>
            </w:r>
            <w:r w:rsidRPr="000E6505">
              <w:rPr>
                <w:rFonts w:ascii="Arial" w:eastAsia="Times New Roman" w:hAnsi="Arial" w:cs="Arial"/>
                <w:i/>
                <w:iCs/>
                <w:sz w:val="20"/>
              </w:rPr>
              <w:t xml:space="preserve">Small municipal waste combustion units </w:t>
            </w:r>
            <w:proofErr w:type="gramStart"/>
            <w:r w:rsidRPr="000E6505">
              <w:rPr>
                <w:rFonts w:ascii="Arial" w:eastAsia="Times New Roman" w:hAnsi="Arial" w:cs="Arial"/>
                <w:i/>
                <w:iCs/>
                <w:sz w:val="20"/>
              </w:rPr>
              <w:t>that</w:t>
            </w:r>
            <w:proofErr w:type="gramEnd"/>
            <w:r w:rsidRPr="000E6505">
              <w:rPr>
                <w:rFonts w:ascii="Arial" w:eastAsia="Times New Roman" w:hAnsi="Arial" w:cs="Arial"/>
                <w:i/>
                <w:iCs/>
                <w:sz w:val="20"/>
              </w:rPr>
              <w:t xml:space="preserve"> combust less than 11 tons per day.</w:t>
            </w:r>
            <w:r w:rsidRPr="000E6505">
              <w:rPr>
                <w:rFonts w:ascii="Arial" w:eastAsia="Times New Roman" w:hAnsi="Arial" w:cs="Arial"/>
                <w:sz w:val="20"/>
              </w:rPr>
              <w:t xml:space="preserve"> You are exempt from this subpart if you meet four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Your municipal waste combustion unit is subject to a federally enforceable permit limiting the amount of municipal solid waste combusted to less than 11 tons per day.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You notify the Administrator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(3) You provide the Administrator with a copy of the federally enforceable permit.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(4) You keep daily records of the amount of municipal solid waste combusted.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w:t>
            </w:r>
            <w:r w:rsidRPr="000E6505">
              <w:rPr>
                <w:rFonts w:ascii="Arial" w:eastAsia="Times New Roman" w:hAnsi="Arial" w:cs="Arial"/>
                <w:i/>
                <w:iCs/>
                <w:sz w:val="20"/>
              </w:rPr>
              <w:t>Small power production facilities.</w:t>
            </w:r>
            <w:r w:rsidRPr="000E6505">
              <w:rPr>
                <w:rFonts w:ascii="Arial" w:eastAsia="Times New Roman" w:hAnsi="Arial" w:cs="Arial"/>
                <w:sz w:val="20"/>
              </w:rPr>
              <w:t xml:space="preserve"> You are exempt from this subpart if you meet four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(1) Your unit qualifies as a small power production facility under section 3(17</w:t>
            </w:r>
            <w:proofErr w:type="gramStart"/>
            <w:r w:rsidRPr="000E6505">
              <w:rPr>
                <w:rFonts w:ascii="Arial" w:eastAsia="Times New Roman" w:hAnsi="Arial" w:cs="Arial"/>
                <w:sz w:val="20"/>
              </w:rPr>
              <w:t>)(</w:t>
            </w:r>
            <w:proofErr w:type="gramEnd"/>
            <w:r w:rsidRPr="000E6505">
              <w:rPr>
                <w:rFonts w:ascii="Arial" w:eastAsia="Times New Roman" w:hAnsi="Arial" w:cs="Arial"/>
                <w:sz w:val="20"/>
              </w:rPr>
              <w:t xml:space="preserve">C) of the Federal Power Act (16 U.S.C. 796(17)(C)).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Your unit combusts homogeneous waste (excluding refuse-derived fuel) to produce electricity.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lastRenderedPageBreak/>
              <w:t xml:space="preserve">(3) You notify the Administrator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(4) You provide the Administrator with documentation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(c) </w:t>
            </w:r>
            <w:r w:rsidRPr="000E6505">
              <w:rPr>
                <w:rFonts w:ascii="Arial" w:eastAsia="Times New Roman" w:hAnsi="Arial" w:cs="Arial"/>
                <w:i/>
                <w:iCs/>
                <w:sz w:val="20"/>
              </w:rPr>
              <w:t>Cogeneration facilities.</w:t>
            </w:r>
            <w:r w:rsidRPr="000E6505">
              <w:rPr>
                <w:rFonts w:ascii="Arial" w:eastAsia="Times New Roman" w:hAnsi="Arial" w:cs="Arial"/>
                <w:sz w:val="20"/>
              </w:rPr>
              <w:t xml:space="preserve"> You are exempt from this subpart if you meet four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(1) Your unit qualifies as a cogeneration facility under section 3(18</w:t>
            </w:r>
            <w:proofErr w:type="gramStart"/>
            <w:r w:rsidRPr="000E6505">
              <w:rPr>
                <w:rFonts w:ascii="Arial" w:eastAsia="Times New Roman" w:hAnsi="Arial" w:cs="Arial"/>
                <w:sz w:val="20"/>
              </w:rPr>
              <w:t>)(</w:t>
            </w:r>
            <w:proofErr w:type="gramEnd"/>
            <w:r w:rsidRPr="000E6505">
              <w:rPr>
                <w:rFonts w:ascii="Arial" w:eastAsia="Times New Roman" w:hAnsi="Arial" w:cs="Arial"/>
                <w:sz w:val="20"/>
              </w:rPr>
              <w:t xml:space="preserve">B) of the Federal Power Act (16 U.S.C. 796(18)(B)).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Your unit combusts homogeneous waste (excluding refuse-derived fuel) to produce electricity and steam or other forms of energy used for industrial, commercial, heating, or cooling purposes.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(3) You notify the Administrator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(4) You provide the Administrator with documentation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(d) </w:t>
            </w:r>
            <w:r w:rsidRPr="000E6505">
              <w:rPr>
                <w:rFonts w:ascii="Arial" w:eastAsia="Times New Roman" w:hAnsi="Arial" w:cs="Arial"/>
                <w:i/>
                <w:iCs/>
                <w:sz w:val="20"/>
              </w:rPr>
              <w:t>Municipal waste combustion units that combust only tires.</w:t>
            </w:r>
            <w:r w:rsidRPr="000E6505">
              <w:rPr>
                <w:rFonts w:ascii="Arial" w:eastAsia="Times New Roman" w:hAnsi="Arial" w:cs="Arial"/>
                <w:sz w:val="20"/>
              </w:rPr>
              <w:t xml:space="preserve"> You are exempt from this subpart if you meet three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Your municipal waste combustion unit combusts a single-item waste stream of tires and no other municipal waste (the unit can co-fire coal, fuel oil, natural gas, or other nonmunicipal solid waste).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You notify the Administrator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(3) You provide the Administrator with documentation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(e) </w:t>
            </w:r>
            <w:r w:rsidRPr="000E6505">
              <w:rPr>
                <w:rFonts w:ascii="Arial" w:eastAsia="Times New Roman" w:hAnsi="Arial" w:cs="Arial"/>
                <w:i/>
                <w:iCs/>
                <w:sz w:val="20"/>
              </w:rPr>
              <w:t>Hazardous waste combustion units.</w:t>
            </w:r>
            <w:r w:rsidRPr="000E6505">
              <w:rPr>
                <w:rFonts w:ascii="Arial" w:eastAsia="Times New Roman" w:hAnsi="Arial" w:cs="Arial"/>
                <w:sz w:val="20"/>
              </w:rPr>
              <w:t xml:space="preserve"> You are exempt from this subpart if you get a permit for your unit under section 3005 of the Solid Waste Disposal Act.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(f) </w:t>
            </w:r>
            <w:r w:rsidRPr="000E6505">
              <w:rPr>
                <w:rFonts w:ascii="Arial" w:eastAsia="Times New Roman" w:hAnsi="Arial" w:cs="Arial"/>
                <w:i/>
                <w:iCs/>
                <w:sz w:val="20"/>
              </w:rPr>
              <w:t>Materials recovery units.</w:t>
            </w:r>
            <w:r w:rsidRPr="000E6505">
              <w:rPr>
                <w:rFonts w:ascii="Arial" w:eastAsia="Times New Roman" w:hAnsi="Arial" w:cs="Arial"/>
                <w:sz w:val="20"/>
              </w:rPr>
              <w:t xml:space="preserve"> You are exempt from this subpart if your unit combusts waste mainly to recover metals. Primary and secondary smelters qualify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(g) </w:t>
            </w:r>
            <w:r w:rsidRPr="000E6505">
              <w:rPr>
                <w:rFonts w:ascii="Arial" w:eastAsia="Times New Roman" w:hAnsi="Arial" w:cs="Arial"/>
                <w:i/>
                <w:iCs/>
                <w:sz w:val="20"/>
              </w:rPr>
              <w:t>Co-fired combustors.</w:t>
            </w:r>
            <w:r w:rsidRPr="000E6505">
              <w:rPr>
                <w:rFonts w:ascii="Arial" w:eastAsia="Times New Roman" w:hAnsi="Arial" w:cs="Arial"/>
                <w:sz w:val="20"/>
              </w:rPr>
              <w:t xml:space="preserve"> You are exempt from this subpart if you meet four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Your unit has a federally enforceable permit limiting the combustion of municipal solid waste to 30 percent of the total fuel input by weight.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You notify the Administrator that the unit qualifies for the exemption.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(3) You provide the Administrator with a copy of the federally enforceable permit.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(4) You record the weights, each quarter, of municipal solid waste and of all other fuels combusted.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(h) </w:t>
            </w:r>
            <w:r w:rsidRPr="000E6505">
              <w:rPr>
                <w:rFonts w:ascii="Arial" w:eastAsia="Times New Roman" w:hAnsi="Arial" w:cs="Arial"/>
                <w:i/>
                <w:iCs/>
                <w:sz w:val="20"/>
              </w:rPr>
              <w:t>Plastics/rubber recycling units.</w:t>
            </w:r>
            <w:r w:rsidRPr="000E6505">
              <w:rPr>
                <w:rFonts w:ascii="Arial" w:eastAsia="Times New Roman" w:hAnsi="Arial" w:cs="Arial"/>
                <w:sz w:val="20"/>
              </w:rPr>
              <w:t xml:space="preserve"> You are exempt from this subpart if you meet four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Your pyrolysis/combustion unit is an integrated part of a plastics/rubber recycling unit as defined under “Definitions” (§60.1465).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You record the weights, each quarter, of plastics, rubber, and rubber tires processed.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lastRenderedPageBreak/>
              <w:t xml:space="preserve">(3) You record the weights, each quarter, of feed stocks produced and marketed from chemical plants and petroleum refineries.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(4) You keep the name and address of the purchaser of those feed stocks.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(i) </w:t>
            </w:r>
            <w:r w:rsidRPr="000E6505">
              <w:rPr>
                <w:rFonts w:ascii="Arial" w:eastAsia="Times New Roman" w:hAnsi="Arial" w:cs="Arial"/>
                <w:i/>
                <w:iCs/>
                <w:sz w:val="20"/>
              </w:rPr>
              <w:t>Units that combust fuels made from products of plastics/rubber recycling plants.</w:t>
            </w:r>
            <w:r w:rsidRPr="000E6505">
              <w:rPr>
                <w:rFonts w:ascii="Arial" w:eastAsia="Times New Roman" w:hAnsi="Arial" w:cs="Arial"/>
                <w:sz w:val="20"/>
              </w:rPr>
              <w:t xml:space="preserve"> You are exempt from this subpart if you meet two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Your unit combusts gasoline, diesel fuel, jet fuel, fuel oils, residual oil, refinery gas, petroleum coke, liquified petroleum gas, propane, or butane produced by chemical plants or petroleum refineries that use feedstocks produced by plastics/rubber recycling units.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Your unit does not combust any other municipal solid waste.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(j) </w:t>
            </w:r>
            <w:r w:rsidRPr="000E6505">
              <w:rPr>
                <w:rFonts w:ascii="Arial" w:eastAsia="Times New Roman" w:hAnsi="Arial" w:cs="Arial"/>
                <w:i/>
                <w:iCs/>
                <w:sz w:val="20"/>
              </w:rPr>
              <w:t>Cement kilns.</w:t>
            </w:r>
            <w:r w:rsidRPr="000E6505">
              <w:rPr>
                <w:rFonts w:ascii="Arial" w:eastAsia="Times New Roman" w:hAnsi="Arial" w:cs="Arial"/>
                <w:sz w:val="20"/>
              </w:rPr>
              <w:t xml:space="preserve"> You are exempt from this subpart if your cement </w:t>
            </w:r>
            <w:proofErr w:type="gramStart"/>
            <w:r w:rsidRPr="000E6505">
              <w:rPr>
                <w:rFonts w:ascii="Arial" w:eastAsia="Times New Roman" w:hAnsi="Arial" w:cs="Arial"/>
                <w:sz w:val="20"/>
              </w:rPr>
              <w:t>kiln</w:t>
            </w:r>
            <w:proofErr w:type="gramEnd"/>
            <w:r w:rsidRPr="000E6505">
              <w:rPr>
                <w:rFonts w:ascii="Arial" w:eastAsia="Times New Roman" w:hAnsi="Arial" w:cs="Arial"/>
                <w:sz w:val="20"/>
              </w:rPr>
              <w:t xml:space="preserve"> combusts municipal solid waste.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(k) </w:t>
            </w:r>
            <w:r w:rsidRPr="000E6505">
              <w:rPr>
                <w:rFonts w:ascii="Arial" w:eastAsia="Times New Roman" w:hAnsi="Arial" w:cs="Arial"/>
                <w:i/>
                <w:iCs/>
                <w:sz w:val="20"/>
              </w:rPr>
              <w:t>Air curtain incinerators.</w:t>
            </w:r>
            <w:r w:rsidRPr="000E6505">
              <w:rPr>
                <w:rFonts w:ascii="Arial" w:eastAsia="Times New Roman" w:hAnsi="Arial" w:cs="Arial"/>
                <w:sz w:val="20"/>
              </w:rPr>
              <w:t xml:space="preserve"> If your air curtain incinerator (see §60.1465 for definition) combusts 100 percent yard waste, you must meet only the requirements under “Air Curtain Incinerators That Burn 100 Percent Yard Waste” (§§60.1435 through 60.1455). </w:t>
            </w:r>
          </w:p>
          <w:p w:rsidR="000E6505" w:rsidRPr="000E6505" w:rsidRDefault="000E6505" w:rsidP="000E6505">
            <w:pPr>
              <w:spacing w:before="200" w:after="100" w:afterAutospacing="1" w:line="240" w:lineRule="auto"/>
              <w:rPr>
                <w:rFonts w:ascii="Arial" w:eastAsia="Times New Roman" w:hAnsi="Arial" w:cs="Arial"/>
                <w:sz w:val="20"/>
              </w:rPr>
            </w:pPr>
            <w:hyperlink r:id="rId128" w:anchor="_top" w:history="1">
              <w:r>
                <w:rPr>
                  <w:rFonts w:ascii="Arial" w:eastAsia="Times New Roman" w:hAnsi="Arial" w:cs="Arial"/>
                  <w:noProof/>
                  <w:color w:val="0000FF"/>
                  <w:sz w:val="17"/>
                  <w:szCs w:val="17"/>
                </w:rPr>
                <w:drawing>
                  <wp:inline distT="0" distB="0" distL="0" distR="0">
                    <wp:extent cx="152400" cy="152400"/>
                    <wp:effectExtent l="0" t="0" r="0" b="0"/>
                    <wp:docPr id="10" name="Picture 1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 w:name="40:7.0.1.1.1.90.152.6"/>
            <w:bookmarkEnd w:id="7"/>
            <w:r w:rsidRPr="000E6505">
              <w:rPr>
                <w:rFonts w:ascii="Arial" w:eastAsia="Times New Roman" w:hAnsi="Arial" w:cs="Arial"/>
                <w:b/>
                <w:bCs/>
                <w:sz w:val="20"/>
              </w:rPr>
              <w:t>§60.1025   Do subpart E new source performance standards also apply to my municipal waste combustion unit?</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If this subpart AAAA applies to your municipal waste combustion unit, then subpart E of this part does not apply to your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129" w:anchor="_top" w:history="1">
              <w:r>
                <w:rPr>
                  <w:rFonts w:ascii="Arial" w:eastAsia="Times New Roman" w:hAnsi="Arial" w:cs="Arial"/>
                  <w:noProof/>
                  <w:color w:val="0000FF"/>
                  <w:sz w:val="17"/>
                  <w:szCs w:val="17"/>
                </w:rPr>
                <w:drawing>
                  <wp:inline distT="0" distB="0" distL="0" distR="0">
                    <wp:extent cx="152400" cy="152400"/>
                    <wp:effectExtent l="0" t="0" r="0" b="0"/>
                    <wp:docPr id="11" name="Picture 1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 w:name="40:7.0.1.1.1.90.152.7"/>
            <w:bookmarkEnd w:id="8"/>
            <w:r w:rsidRPr="000E6505">
              <w:rPr>
                <w:rFonts w:ascii="Arial" w:eastAsia="Times New Roman" w:hAnsi="Arial" w:cs="Arial"/>
                <w:b/>
                <w:bCs/>
                <w:sz w:val="20"/>
              </w:rPr>
              <w:t>§60.1030   Can the Administrator delegate authority to enforce these Federal new source performance standards to a State agency?</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Yes, the Administrator can delegate all authorities in all sections of this subpart to the State for direct State enforcement. </w:t>
            </w:r>
          </w:p>
          <w:p w:rsidR="000E6505" w:rsidRPr="000E6505" w:rsidRDefault="000E6505" w:rsidP="000E6505">
            <w:pPr>
              <w:spacing w:before="200" w:after="100" w:afterAutospacing="1" w:line="240" w:lineRule="auto"/>
              <w:rPr>
                <w:rFonts w:ascii="Arial" w:eastAsia="Times New Roman" w:hAnsi="Arial" w:cs="Arial"/>
                <w:sz w:val="20"/>
              </w:rPr>
            </w:pPr>
            <w:hyperlink r:id="rId130" w:anchor="_top" w:history="1">
              <w:r>
                <w:rPr>
                  <w:rFonts w:ascii="Arial" w:eastAsia="Times New Roman" w:hAnsi="Arial" w:cs="Arial"/>
                  <w:noProof/>
                  <w:color w:val="0000FF"/>
                  <w:sz w:val="17"/>
                  <w:szCs w:val="17"/>
                </w:rPr>
                <w:drawing>
                  <wp:inline distT="0" distB="0" distL="0" distR="0">
                    <wp:extent cx="152400" cy="152400"/>
                    <wp:effectExtent l="0" t="0" r="0" b="0"/>
                    <wp:docPr id="12" name="Picture 1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 w:name="40:7.0.1.1.1.90.152.8"/>
            <w:bookmarkEnd w:id="9"/>
            <w:r w:rsidRPr="000E6505">
              <w:rPr>
                <w:rFonts w:ascii="Arial" w:eastAsia="Times New Roman" w:hAnsi="Arial" w:cs="Arial"/>
                <w:b/>
                <w:bCs/>
                <w:sz w:val="20"/>
              </w:rPr>
              <w:t>§60.1035   How are these new source performance standards structured?</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These new source performance standards contain five major components: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Preconstruction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Materials separation plan.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Siting analysis.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Good combustion practices.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lastRenderedPageBreak/>
              <w:t xml:space="preserve">(1) Operator training.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Operator certification.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(3) Operating requirements.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(c) Emission limits.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(d) Monitoring and stack testing. </w:t>
            </w:r>
          </w:p>
          <w:p w:rsidR="000E6505" w:rsidRPr="000E6505" w:rsidRDefault="000E6505" w:rsidP="001D7193">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(e) Recordkeeping and reporting. </w:t>
            </w:r>
          </w:p>
          <w:p w:rsidR="000E6505" w:rsidRPr="000E6505" w:rsidRDefault="000E6505" w:rsidP="000E6505">
            <w:pPr>
              <w:spacing w:before="200" w:after="100" w:afterAutospacing="1" w:line="240" w:lineRule="auto"/>
              <w:rPr>
                <w:rFonts w:ascii="Arial" w:eastAsia="Times New Roman" w:hAnsi="Arial" w:cs="Arial"/>
                <w:sz w:val="20"/>
              </w:rPr>
            </w:pPr>
            <w:hyperlink r:id="rId131" w:anchor="_top" w:history="1">
              <w:r>
                <w:rPr>
                  <w:rFonts w:ascii="Arial" w:eastAsia="Times New Roman" w:hAnsi="Arial" w:cs="Arial"/>
                  <w:noProof/>
                  <w:color w:val="0000FF"/>
                  <w:sz w:val="17"/>
                  <w:szCs w:val="17"/>
                </w:rPr>
                <w:drawing>
                  <wp:inline distT="0" distB="0" distL="0" distR="0">
                    <wp:extent cx="152400" cy="152400"/>
                    <wp:effectExtent l="0" t="0" r="0" b="0"/>
                    <wp:docPr id="13" name="Picture 1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 w:name="40:7.0.1.1.1.90.152.9"/>
            <w:bookmarkEnd w:id="10"/>
            <w:r w:rsidRPr="000E6505">
              <w:rPr>
                <w:rFonts w:ascii="Arial" w:eastAsia="Times New Roman" w:hAnsi="Arial" w:cs="Arial"/>
                <w:b/>
                <w:bCs/>
                <w:sz w:val="20"/>
              </w:rPr>
              <w:t>§60.1040   Do all five components of these new source performance standards apply at the same time?</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No, you must meet the preconstruction requirements before you commence construction of the municipal waste combustion unit. After the municipal waste combustion unit begins operation, you must meet all of the good combustion practices, emission limits, monitoring, stack testing, and most recordkeeping and reporting requirements. </w:t>
            </w:r>
          </w:p>
          <w:p w:rsidR="000E6505" w:rsidRPr="000E6505" w:rsidRDefault="000E6505" w:rsidP="000E6505">
            <w:pPr>
              <w:spacing w:before="200" w:after="100" w:afterAutospacing="1" w:line="240" w:lineRule="auto"/>
              <w:rPr>
                <w:rFonts w:ascii="Arial" w:eastAsia="Times New Roman" w:hAnsi="Arial" w:cs="Arial"/>
                <w:sz w:val="20"/>
              </w:rPr>
            </w:pPr>
            <w:hyperlink r:id="rId132" w:anchor="_top" w:history="1">
              <w:r>
                <w:rPr>
                  <w:rFonts w:ascii="Arial" w:eastAsia="Times New Roman" w:hAnsi="Arial" w:cs="Arial"/>
                  <w:noProof/>
                  <w:color w:val="0000FF"/>
                  <w:sz w:val="17"/>
                  <w:szCs w:val="17"/>
                </w:rPr>
                <w:drawing>
                  <wp:inline distT="0" distB="0" distL="0" distR="0">
                    <wp:extent cx="152400" cy="152400"/>
                    <wp:effectExtent l="0" t="0" r="0" b="0"/>
                    <wp:docPr id="14" name="Picture 1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1" w:name="40:7.0.1.1.1.90.152.10"/>
            <w:bookmarkEnd w:id="11"/>
            <w:r w:rsidRPr="000E6505">
              <w:rPr>
                <w:rFonts w:ascii="Arial" w:eastAsia="Times New Roman" w:hAnsi="Arial" w:cs="Arial"/>
                <w:b/>
                <w:bCs/>
                <w:sz w:val="20"/>
              </w:rPr>
              <w:t>§60.1045   Are there different subcategories of small municipal waste combustion units within this subpart?</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Yes, this subpart subcategorizes small municipal waste combustion units into two groups based on the aggregate capacity of the municipal waste combustion plant as follows: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w:t>
            </w:r>
            <w:r w:rsidRPr="000E6505">
              <w:rPr>
                <w:rFonts w:ascii="Arial" w:eastAsia="Times New Roman" w:hAnsi="Arial" w:cs="Arial"/>
                <w:i/>
                <w:iCs/>
                <w:sz w:val="20"/>
              </w:rPr>
              <w:t xml:space="preserve">Class </w:t>
            </w:r>
            <w:proofErr w:type="gramStart"/>
            <w:r w:rsidRPr="000E6505">
              <w:rPr>
                <w:rFonts w:ascii="Arial" w:eastAsia="Times New Roman" w:hAnsi="Arial" w:cs="Arial"/>
                <w:i/>
                <w:iCs/>
                <w:sz w:val="20"/>
              </w:rPr>
              <w:t>I</w:t>
            </w:r>
            <w:proofErr w:type="gramEnd"/>
            <w:r w:rsidRPr="000E6505">
              <w:rPr>
                <w:rFonts w:ascii="Arial" w:eastAsia="Times New Roman" w:hAnsi="Arial" w:cs="Arial"/>
                <w:i/>
                <w:iCs/>
                <w:sz w:val="20"/>
              </w:rPr>
              <w:t xml:space="preserve"> Units.</w:t>
            </w:r>
            <w:r w:rsidRPr="000E6505">
              <w:rPr>
                <w:rFonts w:ascii="Arial" w:eastAsia="Times New Roman" w:hAnsi="Arial" w:cs="Arial"/>
                <w:sz w:val="20"/>
              </w:rPr>
              <w:t xml:space="preserve"> Class I units are small municipal waste combustion units that are located at municipal waste combustion plants with an aggregate plant combustion capacity greater than 250 tons per day of municipal solid waste. (See the definition of “municipal waste combustion plant capacity” in §60.1465 for specification of which units at a plant are included in the aggregate capacity calculation.)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w:t>
            </w:r>
            <w:r w:rsidRPr="000E6505">
              <w:rPr>
                <w:rFonts w:ascii="Arial" w:eastAsia="Times New Roman" w:hAnsi="Arial" w:cs="Arial"/>
                <w:i/>
                <w:iCs/>
                <w:sz w:val="20"/>
              </w:rPr>
              <w:t>Class II Units.</w:t>
            </w:r>
            <w:r w:rsidRPr="000E6505">
              <w:rPr>
                <w:rFonts w:ascii="Arial" w:eastAsia="Times New Roman" w:hAnsi="Arial" w:cs="Arial"/>
                <w:sz w:val="20"/>
              </w:rPr>
              <w:t xml:space="preserve"> Class II units are small municipal waste combustion units that are located at municipal waste combustion plants with an aggregate plant combustion capacity less than or equal to 250 tons per day of municipal solid waste. (See the definition of “municipal waste combustion plant capacity” in §60.1465 for specification of which units at a plant are included in the aggregate capacity calculation.)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The requirements for Class I and Class II units are identical except for two items: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Class I units have a nitrogen oxides emission limit. Class II units do not have a nitrogen oxides emission limit (see table 1 of this subpart). Additionally, Class I units have continuous emission monitoring, recordkeeping, and reporting requirements for nitrogen oxides.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Class II units are eligible for the reduced testing option provided in §60.1305. </w:t>
            </w:r>
          </w:p>
          <w:p w:rsidR="000E6505" w:rsidRPr="000E6505" w:rsidRDefault="000E6505" w:rsidP="000E6505">
            <w:pPr>
              <w:spacing w:before="200" w:after="100" w:afterAutospacing="1" w:line="240" w:lineRule="auto"/>
              <w:rPr>
                <w:rFonts w:ascii="Arial" w:eastAsia="Times New Roman" w:hAnsi="Arial" w:cs="Arial"/>
                <w:sz w:val="20"/>
              </w:rPr>
            </w:pPr>
            <w:hyperlink r:id="rId133" w:anchor="_top" w:history="1">
              <w:r>
                <w:rPr>
                  <w:rFonts w:ascii="Arial" w:eastAsia="Times New Roman" w:hAnsi="Arial" w:cs="Arial"/>
                  <w:noProof/>
                  <w:color w:val="0000FF"/>
                  <w:sz w:val="17"/>
                  <w:szCs w:val="17"/>
                </w:rPr>
                <w:drawing>
                  <wp:inline distT="0" distB="0" distL="0" distR="0">
                    <wp:extent cx="152400" cy="152400"/>
                    <wp:effectExtent l="0" t="0" r="0" b="0"/>
                    <wp:docPr id="15" name="Picture 1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12" w:name="40:7.0.1.1.1.90.153"/>
            <w:bookmarkEnd w:id="12"/>
            <w:r w:rsidRPr="000E6505">
              <w:rPr>
                <w:rFonts w:ascii="Arial" w:eastAsia="Times New Roman" w:hAnsi="Arial" w:cs="Arial"/>
                <w:b/>
                <w:bCs/>
                <w:smallCaps/>
                <w:sz w:val="27"/>
                <w:szCs w:val="27"/>
              </w:rPr>
              <w:lastRenderedPageBreak/>
              <w:t>Preconstruction Requirements: Materials Separation Plan</w:t>
            </w:r>
          </w:p>
          <w:p w:rsidR="000E6505" w:rsidRPr="000E6505" w:rsidRDefault="000E6505" w:rsidP="000E6505">
            <w:pPr>
              <w:spacing w:before="200" w:after="100" w:afterAutospacing="1" w:line="240" w:lineRule="auto"/>
              <w:rPr>
                <w:rFonts w:ascii="Arial" w:eastAsia="Times New Roman" w:hAnsi="Arial" w:cs="Arial"/>
                <w:sz w:val="20"/>
              </w:rPr>
            </w:pPr>
            <w:hyperlink r:id="rId134" w:anchor="_top" w:history="1">
              <w:r>
                <w:rPr>
                  <w:rFonts w:ascii="Arial" w:eastAsia="Times New Roman" w:hAnsi="Arial" w:cs="Arial"/>
                  <w:noProof/>
                  <w:color w:val="0000FF"/>
                  <w:sz w:val="17"/>
                  <w:szCs w:val="17"/>
                </w:rPr>
                <w:drawing>
                  <wp:inline distT="0" distB="0" distL="0" distR="0">
                    <wp:extent cx="152400" cy="152400"/>
                    <wp:effectExtent l="0" t="0" r="0" b="0"/>
                    <wp:docPr id="16" name="Picture 1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3" w:name="40:7.0.1.1.1.90.153.11"/>
            <w:bookmarkEnd w:id="13"/>
            <w:r w:rsidRPr="000E6505">
              <w:rPr>
                <w:rFonts w:ascii="Arial" w:eastAsia="Times New Roman" w:hAnsi="Arial" w:cs="Arial"/>
                <w:b/>
                <w:bCs/>
                <w:sz w:val="20"/>
              </w:rPr>
              <w:t>§60.1050   Who must submit a materials separation plan?</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You must prepare a materials separation plan for your municipal waste combustion unit if you commence construction of a new small municipal waste combustion unit after December 6, 2000.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If you commence construction of your municipal waste combustion unit after August 30, 1999 but before December 6, 2000, you are not required to prepare the materials separation plan specified in this subpart.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(c) You must prepare a materials separation plan if you are required to submit an initial application for a construction permit, under 40 CFR part 51, subpart I, or part 52, as applicable, for the reconstruction or modification of your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135" w:anchor="_top" w:history="1">
              <w:r>
                <w:rPr>
                  <w:rFonts w:ascii="Arial" w:eastAsia="Times New Roman" w:hAnsi="Arial" w:cs="Arial"/>
                  <w:noProof/>
                  <w:color w:val="0000FF"/>
                  <w:sz w:val="17"/>
                  <w:szCs w:val="17"/>
                </w:rPr>
                <w:drawing>
                  <wp:inline distT="0" distB="0" distL="0" distR="0">
                    <wp:extent cx="152400" cy="152400"/>
                    <wp:effectExtent l="0" t="0" r="0" b="0"/>
                    <wp:docPr id="17" name="Picture 1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4" w:name="40:7.0.1.1.1.90.153.12"/>
            <w:bookmarkEnd w:id="14"/>
            <w:r w:rsidRPr="000E6505">
              <w:rPr>
                <w:rFonts w:ascii="Arial" w:eastAsia="Times New Roman" w:hAnsi="Arial" w:cs="Arial"/>
                <w:b/>
                <w:bCs/>
                <w:sz w:val="20"/>
              </w:rPr>
              <w:t>§60.1055   What is a materials separation plan?</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The plan identifies a goal and an approach for separating certain components of municipal solid waste for a given service area prior to waste combustion and making them available for recycling. </w:t>
            </w:r>
          </w:p>
          <w:p w:rsidR="000E6505" w:rsidRPr="000E6505" w:rsidRDefault="000E6505" w:rsidP="000E6505">
            <w:pPr>
              <w:spacing w:before="200" w:after="100" w:afterAutospacing="1" w:line="240" w:lineRule="auto"/>
              <w:rPr>
                <w:rFonts w:ascii="Arial" w:eastAsia="Times New Roman" w:hAnsi="Arial" w:cs="Arial"/>
                <w:sz w:val="20"/>
              </w:rPr>
            </w:pPr>
            <w:hyperlink r:id="rId136" w:anchor="_top" w:history="1">
              <w:r>
                <w:rPr>
                  <w:rFonts w:ascii="Arial" w:eastAsia="Times New Roman" w:hAnsi="Arial" w:cs="Arial"/>
                  <w:noProof/>
                  <w:color w:val="0000FF"/>
                  <w:sz w:val="17"/>
                  <w:szCs w:val="17"/>
                </w:rPr>
                <w:drawing>
                  <wp:inline distT="0" distB="0" distL="0" distR="0">
                    <wp:extent cx="152400" cy="152400"/>
                    <wp:effectExtent l="0" t="0" r="0" b="0"/>
                    <wp:docPr id="18" name="Picture 1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5" w:name="40:7.0.1.1.1.90.153.13"/>
            <w:bookmarkEnd w:id="15"/>
            <w:r w:rsidRPr="000E6505">
              <w:rPr>
                <w:rFonts w:ascii="Arial" w:eastAsia="Times New Roman" w:hAnsi="Arial" w:cs="Arial"/>
                <w:b/>
                <w:bCs/>
                <w:sz w:val="20"/>
              </w:rPr>
              <w:t>§60.1060   What steps must I complete for my materials separation plan?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For your materials separation plan, you must complete nine steps: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Prepare a draft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Make your draft plan available to the public.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Hold a public meeting on your draft plan. </w:t>
            </w:r>
          </w:p>
          <w:p w:rsidR="000E6505" w:rsidRPr="000E6505" w:rsidRDefault="000E6505" w:rsidP="000E6505">
            <w:pPr>
              <w:spacing w:before="100" w:beforeAutospacing="1" w:after="100" w:afterAutospacing="1" w:line="240" w:lineRule="auto"/>
              <w:ind w:left="450" w:firstLine="30"/>
              <w:rPr>
                <w:rFonts w:ascii="Arial" w:eastAsia="Times New Roman" w:hAnsi="Arial" w:cs="Arial"/>
                <w:sz w:val="20"/>
              </w:rPr>
            </w:pPr>
            <w:r w:rsidRPr="000E6505">
              <w:rPr>
                <w:rFonts w:ascii="Arial" w:eastAsia="Times New Roman" w:hAnsi="Arial" w:cs="Arial"/>
                <w:sz w:val="20"/>
              </w:rPr>
              <w:t xml:space="preserve">(4) Prepare responses to public comments received during the public comment period on your draft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Prepare a revised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Discuss the revised plan at the public meeting for review of the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(7) Prepare responses to public comments received on your revised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(8) Prepare a final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(9) Submit the final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 may use analyses conducted under the requirements of 40 CFR part 51, subpart I, or part </w:t>
            </w:r>
            <w:r w:rsidRPr="000E6505">
              <w:rPr>
                <w:rFonts w:ascii="Arial" w:eastAsia="Times New Roman" w:hAnsi="Arial" w:cs="Arial"/>
                <w:sz w:val="20"/>
              </w:rPr>
              <w:lastRenderedPageBreak/>
              <w:t xml:space="preserve">52, to comply with some of the materials separation requirements of this subpart. </w:t>
            </w:r>
          </w:p>
          <w:p w:rsidR="000E6505" w:rsidRPr="000E6505" w:rsidRDefault="000E6505" w:rsidP="000E6505">
            <w:pPr>
              <w:spacing w:before="200" w:after="100" w:afterAutospacing="1" w:line="240" w:lineRule="auto"/>
              <w:rPr>
                <w:rFonts w:ascii="Arial" w:eastAsia="Times New Roman" w:hAnsi="Arial" w:cs="Arial"/>
                <w:sz w:val="20"/>
              </w:rPr>
            </w:pPr>
            <w:hyperlink r:id="rId137" w:anchor="_top" w:history="1">
              <w:r>
                <w:rPr>
                  <w:rFonts w:ascii="Arial" w:eastAsia="Times New Roman" w:hAnsi="Arial" w:cs="Arial"/>
                  <w:noProof/>
                  <w:color w:val="0000FF"/>
                  <w:sz w:val="17"/>
                  <w:szCs w:val="17"/>
                </w:rPr>
                <w:drawing>
                  <wp:inline distT="0" distB="0" distL="0" distR="0">
                    <wp:extent cx="152400" cy="152400"/>
                    <wp:effectExtent l="0" t="0" r="0" b="0"/>
                    <wp:docPr id="19" name="Picture 1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6" w:name="40:7.0.1.1.1.90.153.14"/>
            <w:bookmarkEnd w:id="16"/>
            <w:r w:rsidRPr="000E6505">
              <w:rPr>
                <w:rFonts w:ascii="Arial" w:eastAsia="Times New Roman" w:hAnsi="Arial" w:cs="Arial"/>
                <w:b/>
                <w:bCs/>
                <w:sz w:val="20"/>
              </w:rPr>
              <w:t>§60.1065   What must I include in my draft materials separation plan?</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You must prepare and submit a draft materials separation plan for your municipal waste combustion unit and its service area.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Your draft materials separation plan must identify a goal and an approach for separating certain components of municipal solid waste for a given service area prior to waste combustion and making them available for recycling. A materials separation plan may include such elements as dropoff facilities, buy-back or deposit-return incentives, programs for curbside pickup, and centralized systems for mechanical separation.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(c) Your materials separation plan may include different goals or approaches for different subareas in the service area.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(d) Your materials separation plan may exclude materials separation activities for certain subareas or, if warranted, the entire service area. </w:t>
            </w:r>
          </w:p>
          <w:p w:rsidR="000E6505" w:rsidRPr="000E6505" w:rsidRDefault="000E6505" w:rsidP="000E6505">
            <w:pPr>
              <w:spacing w:before="200" w:after="100" w:afterAutospacing="1" w:line="240" w:lineRule="auto"/>
              <w:rPr>
                <w:rFonts w:ascii="Arial" w:eastAsia="Times New Roman" w:hAnsi="Arial" w:cs="Arial"/>
                <w:sz w:val="20"/>
              </w:rPr>
            </w:pPr>
            <w:hyperlink r:id="rId138" w:anchor="_top" w:history="1">
              <w:r>
                <w:rPr>
                  <w:rFonts w:ascii="Arial" w:eastAsia="Times New Roman" w:hAnsi="Arial" w:cs="Arial"/>
                  <w:noProof/>
                  <w:color w:val="0000FF"/>
                  <w:sz w:val="17"/>
                  <w:szCs w:val="17"/>
                </w:rPr>
                <w:drawing>
                  <wp:inline distT="0" distB="0" distL="0" distR="0">
                    <wp:extent cx="152400" cy="152400"/>
                    <wp:effectExtent l="0" t="0" r="0" b="0"/>
                    <wp:docPr id="20" name="Picture 2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7" w:name="40:7.0.1.1.1.90.153.15"/>
            <w:bookmarkEnd w:id="17"/>
            <w:r w:rsidRPr="000E6505">
              <w:rPr>
                <w:rFonts w:ascii="Arial" w:eastAsia="Times New Roman" w:hAnsi="Arial" w:cs="Arial"/>
                <w:b/>
                <w:bCs/>
                <w:sz w:val="20"/>
              </w:rPr>
              <w:t>§60.1070   How do I make my draft materials separation plan available to the public?</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Distribute your draft materials separation plan to the main public libraries in the area where you will construct the municipal waste combustion unit.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Publish a notice of a public meeting in the main newspapers that serve two areas: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The area where you will construct the municipal waste combustion unit.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The areas where the waste that your municipal waste combustion unit combusts will be collected.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(c) Include six items in your notice of the public meeting: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The date of the public meeting.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The time of the public meeting.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(3) The location of the public meeting.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(4) The location of the public libraries where the public can find your materials separation plan. Include the normal business hours of each library.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(5) An agenda of the topics that will be discussed at the public meeting.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(6) The beginning and ending dates of the public comment period on your draft materials separation plan. </w:t>
            </w:r>
          </w:p>
          <w:p w:rsidR="000E6505" w:rsidRPr="000E6505" w:rsidRDefault="000E6505" w:rsidP="000E6505">
            <w:pPr>
              <w:spacing w:before="200" w:after="100" w:afterAutospacing="1" w:line="240" w:lineRule="auto"/>
              <w:rPr>
                <w:rFonts w:ascii="Arial" w:eastAsia="Times New Roman" w:hAnsi="Arial" w:cs="Arial"/>
                <w:sz w:val="20"/>
              </w:rPr>
            </w:pPr>
            <w:hyperlink r:id="rId139" w:anchor="_top" w:history="1">
              <w:r>
                <w:rPr>
                  <w:rFonts w:ascii="Arial" w:eastAsia="Times New Roman" w:hAnsi="Arial" w:cs="Arial"/>
                  <w:noProof/>
                  <w:color w:val="0000FF"/>
                  <w:sz w:val="17"/>
                  <w:szCs w:val="17"/>
                </w:rPr>
                <w:drawing>
                  <wp:inline distT="0" distB="0" distL="0" distR="0">
                    <wp:extent cx="152400" cy="152400"/>
                    <wp:effectExtent l="0" t="0" r="0" b="0"/>
                    <wp:docPr id="21" name="Picture 2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8" w:name="40:7.0.1.1.1.90.153.16"/>
            <w:bookmarkEnd w:id="18"/>
            <w:r w:rsidRPr="000E6505">
              <w:rPr>
                <w:rFonts w:ascii="Arial" w:eastAsia="Times New Roman" w:hAnsi="Arial" w:cs="Arial"/>
                <w:b/>
                <w:bCs/>
                <w:sz w:val="20"/>
              </w:rPr>
              <w:lastRenderedPageBreak/>
              <w:t>§60.1075   When must I accept comments on the materials separation plan?</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You must accept verbal comments at the public meeting.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You must accept written comments anytime during the period that begins on the date the document is distributed to the main public libraries and ends 30 days after the date of the public meeting. </w:t>
            </w:r>
          </w:p>
          <w:p w:rsidR="000E6505" w:rsidRPr="000E6505" w:rsidRDefault="000E6505" w:rsidP="000E6505">
            <w:pPr>
              <w:spacing w:before="200" w:after="100" w:afterAutospacing="1" w:line="240" w:lineRule="auto"/>
              <w:rPr>
                <w:rFonts w:ascii="Arial" w:eastAsia="Times New Roman" w:hAnsi="Arial" w:cs="Arial"/>
                <w:sz w:val="20"/>
              </w:rPr>
            </w:pPr>
            <w:hyperlink r:id="rId140" w:anchor="_top" w:history="1">
              <w:r>
                <w:rPr>
                  <w:rFonts w:ascii="Arial" w:eastAsia="Times New Roman" w:hAnsi="Arial" w:cs="Arial"/>
                  <w:noProof/>
                  <w:color w:val="0000FF"/>
                  <w:sz w:val="17"/>
                  <w:szCs w:val="17"/>
                </w:rPr>
                <w:drawing>
                  <wp:inline distT="0" distB="0" distL="0" distR="0">
                    <wp:extent cx="152400" cy="152400"/>
                    <wp:effectExtent l="0" t="0" r="0" b="0"/>
                    <wp:docPr id="22" name="Picture 2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9" w:name="40:7.0.1.1.1.90.153.17"/>
            <w:bookmarkEnd w:id="19"/>
            <w:r w:rsidRPr="000E6505">
              <w:rPr>
                <w:rFonts w:ascii="Arial" w:eastAsia="Times New Roman" w:hAnsi="Arial" w:cs="Arial"/>
                <w:b/>
                <w:bCs/>
                <w:sz w:val="20"/>
              </w:rPr>
              <w:t>§60.1080   Where and when must I hold a public meeting on my draft materials separation plan?</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(a) You must hold a public meeting and accept comments on your draft materials separation plan.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(b) You must hold the public meeting in the county where you will construct the municipal waste combustion unit.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(c) You must schedule the public meeting to occur at least 30 days after you make your draft materials separation plan available to the public.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(d) You may combine the public meeting with any other public meeting required as part of any other Federal, State, or local permit review. However, you may not combine it with the public meeting required for the siting analysis under “Preconstruction Requirements: Siting Analysis” (§60.1140).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(e) You are encouraged to address eight topics at the public meeting for your draft materials separation plan: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(1) Expected size of the service area for your municipal waste combustion unit.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(2) Amount of waste you will collect in the service area.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(3) Types and estimated amounts of materials proposed for separation.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(4) Methods proposed for materials separation.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(5) Amount of residual waste for disposal.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(6) Alternate disposal methods for handling the residual waste.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(7) Where your responses to public comments on the draft materials separation plan will be available for inspection.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(8) Where your revised materials separation plan will be available for inspection. </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t xml:space="preserve">(f) You must prepare a transcript of the public meeting on your draft materials separation plan. </w:t>
            </w:r>
          </w:p>
          <w:p w:rsidR="000E6505" w:rsidRPr="000E6505" w:rsidRDefault="000E6505" w:rsidP="000E6505">
            <w:pPr>
              <w:spacing w:before="200" w:after="100" w:afterAutospacing="1" w:line="240" w:lineRule="auto"/>
              <w:rPr>
                <w:rFonts w:ascii="Arial" w:eastAsia="Times New Roman" w:hAnsi="Arial" w:cs="Arial"/>
                <w:sz w:val="20"/>
              </w:rPr>
            </w:pPr>
            <w:hyperlink r:id="rId141" w:anchor="_top" w:history="1">
              <w:r>
                <w:rPr>
                  <w:rFonts w:ascii="Arial" w:eastAsia="Times New Roman" w:hAnsi="Arial" w:cs="Arial"/>
                  <w:noProof/>
                  <w:color w:val="0000FF"/>
                  <w:sz w:val="17"/>
                  <w:szCs w:val="17"/>
                </w:rPr>
                <w:drawing>
                  <wp:inline distT="0" distB="0" distL="0" distR="0">
                    <wp:extent cx="152400" cy="152400"/>
                    <wp:effectExtent l="0" t="0" r="0" b="0"/>
                    <wp:docPr id="23" name="Picture 2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0" w:name="40:7.0.1.1.1.90.153.18"/>
            <w:bookmarkEnd w:id="20"/>
            <w:r w:rsidRPr="000E6505">
              <w:rPr>
                <w:rFonts w:ascii="Arial" w:eastAsia="Times New Roman" w:hAnsi="Arial" w:cs="Arial"/>
                <w:b/>
                <w:bCs/>
                <w:sz w:val="20"/>
              </w:rPr>
              <w:t>§60.1085   What must I do with any public comments I receive during the public comment period on my draft materials separation plan?</w:t>
            </w:r>
          </w:p>
          <w:p w:rsidR="000E6505" w:rsidRPr="000E6505" w:rsidRDefault="000E6505" w:rsidP="000E6505">
            <w:pPr>
              <w:spacing w:before="100" w:beforeAutospacing="1" w:after="100" w:afterAutospacing="1" w:line="240" w:lineRule="auto"/>
              <w:rPr>
                <w:rFonts w:ascii="Arial" w:eastAsia="Times New Roman" w:hAnsi="Arial" w:cs="Arial"/>
                <w:sz w:val="20"/>
              </w:rPr>
            </w:pPr>
            <w:r w:rsidRPr="000E6505">
              <w:rPr>
                <w:rFonts w:ascii="Arial" w:eastAsia="Times New Roman" w:hAnsi="Arial" w:cs="Arial"/>
                <w:sz w:val="20"/>
              </w:rPr>
              <w:lastRenderedPageBreak/>
              <w:t xml:space="preserve">You must do three steps: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Prepare written responses to any public comments you received during the public comment period. Summarize the responses to public comments in a document that is separate from your revised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Make the comment response document available to the public in the service area where you will construct your municipal waste combustion unit. You must distribute the document at least to the main public libraries used to announce the public meeting.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Prepare a revised materials separation plan for the municipal waste combustion unit that includes, as appropriate, changes made in response to any public comments you received during the public comment period. </w:t>
            </w:r>
          </w:p>
          <w:p w:rsidR="000E6505" w:rsidRPr="000E6505" w:rsidRDefault="000E6505" w:rsidP="000E6505">
            <w:pPr>
              <w:spacing w:before="200" w:after="100" w:afterAutospacing="1" w:line="240" w:lineRule="auto"/>
              <w:rPr>
                <w:rFonts w:ascii="Arial" w:eastAsia="Times New Roman" w:hAnsi="Arial" w:cs="Arial"/>
                <w:sz w:val="20"/>
              </w:rPr>
            </w:pPr>
            <w:hyperlink r:id="rId142" w:anchor="_top" w:history="1">
              <w:r>
                <w:rPr>
                  <w:rFonts w:ascii="Arial" w:eastAsia="Times New Roman" w:hAnsi="Arial" w:cs="Arial"/>
                  <w:noProof/>
                  <w:color w:val="0000FF"/>
                  <w:sz w:val="17"/>
                  <w:szCs w:val="17"/>
                </w:rPr>
                <w:drawing>
                  <wp:inline distT="0" distB="0" distL="0" distR="0">
                    <wp:extent cx="152400" cy="152400"/>
                    <wp:effectExtent l="0" t="0" r="0" b="0"/>
                    <wp:docPr id="24" name="Picture 2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1" w:name="40:7.0.1.1.1.90.153.19"/>
            <w:bookmarkEnd w:id="21"/>
            <w:r w:rsidRPr="000E6505">
              <w:rPr>
                <w:rFonts w:ascii="Arial" w:eastAsia="Times New Roman" w:hAnsi="Arial" w:cs="Arial"/>
                <w:b/>
                <w:bCs/>
                <w:sz w:val="20"/>
              </w:rPr>
              <w:t>§60.1090   What must I do with my revised materials separation plan?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do two tasks: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As specified under “Reporting” (§60.1375), submit five items to the Administrator by the date you submit the application for a construction permit under 40 CFR part 51, subpart I, or part 52. (If you are not required to submit an application for a construction permit under 40 CFR part 51, subpart I, or part 52, submit five items to the Administrator by the date of your notice of construction under §60.1380):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Your draft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Your revised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Your notice of the public meeting for your draft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A transcript of the public meeting on your draft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The document that summarizes your responses to the public comments you received during the public comment period on your draft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Make your revised materials separation plan available to the public as part of the siting analysis procedures under “Preconstruction Requirements: Siting Analysis” (§60.1130). </w:t>
            </w:r>
          </w:p>
          <w:p w:rsidR="000E6505" w:rsidRPr="000E6505" w:rsidRDefault="000E6505" w:rsidP="000E6505">
            <w:pPr>
              <w:spacing w:before="200" w:after="100" w:afterAutospacing="1" w:line="240" w:lineRule="auto"/>
              <w:rPr>
                <w:rFonts w:ascii="Arial" w:eastAsia="Times New Roman" w:hAnsi="Arial" w:cs="Arial"/>
                <w:sz w:val="20"/>
              </w:rPr>
            </w:pPr>
            <w:hyperlink r:id="rId143" w:anchor="_top" w:history="1">
              <w:r>
                <w:rPr>
                  <w:rFonts w:ascii="Arial" w:eastAsia="Times New Roman" w:hAnsi="Arial" w:cs="Arial"/>
                  <w:noProof/>
                  <w:color w:val="0000FF"/>
                  <w:sz w:val="17"/>
                  <w:szCs w:val="17"/>
                </w:rPr>
                <w:drawing>
                  <wp:inline distT="0" distB="0" distL="0" distR="0">
                    <wp:extent cx="152400" cy="152400"/>
                    <wp:effectExtent l="0" t="0" r="0" b="0"/>
                    <wp:docPr id="25" name="Picture 2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2" w:name="40:7.0.1.1.1.90.153.20"/>
            <w:bookmarkEnd w:id="22"/>
            <w:r w:rsidRPr="000E6505">
              <w:rPr>
                <w:rFonts w:ascii="Arial" w:eastAsia="Times New Roman" w:hAnsi="Arial" w:cs="Arial"/>
                <w:b/>
                <w:bCs/>
                <w:sz w:val="20"/>
              </w:rPr>
              <w:t>§60.1095   What must I include in the public meeting on my revised materials separation plan?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As part of the public meeting for review of the siting analysis, as specified under “Preconstruction Requirements: Siting Analysis” (§60.1140), you must discuss two areas: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Differences between your revised materials separation plan and your draft materials separation plan discussed at the first public meeting (§60.1080).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Questions about your revised materials separation plan. </w:t>
            </w:r>
          </w:p>
          <w:p w:rsidR="000E6505" w:rsidRPr="000E6505" w:rsidRDefault="000E6505" w:rsidP="000E6505">
            <w:pPr>
              <w:spacing w:before="200" w:after="100" w:afterAutospacing="1" w:line="240" w:lineRule="auto"/>
              <w:rPr>
                <w:rFonts w:ascii="Arial" w:eastAsia="Times New Roman" w:hAnsi="Arial" w:cs="Arial"/>
                <w:sz w:val="20"/>
              </w:rPr>
            </w:pPr>
            <w:hyperlink r:id="rId144" w:anchor="_top" w:history="1">
              <w:r>
                <w:rPr>
                  <w:rFonts w:ascii="Arial" w:eastAsia="Times New Roman" w:hAnsi="Arial" w:cs="Arial"/>
                  <w:noProof/>
                  <w:color w:val="0000FF"/>
                  <w:sz w:val="17"/>
                  <w:szCs w:val="17"/>
                </w:rPr>
                <w:drawing>
                  <wp:inline distT="0" distB="0" distL="0" distR="0">
                    <wp:extent cx="152400" cy="152400"/>
                    <wp:effectExtent l="0" t="0" r="0" b="0"/>
                    <wp:docPr id="26" name="Picture 2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3" w:name="40:7.0.1.1.1.90.153.21"/>
            <w:bookmarkEnd w:id="23"/>
            <w:r w:rsidRPr="000E6505">
              <w:rPr>
                <w:rFonts w:ascii="Arial" w:eastAsia="Times New Roman" w:hAnsi="Arial" w:cs="Arial"/>
                <w:b/>
                <w:bCs/>
                <w:sz w:val="20"/>
              </w:rPr>
              <w:t>§60.1100   What must I do with any public comments I receive on my revised materials separation plan?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Prepare written responses to any public comments and include them in the document that summarizes your responses to public comments on the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Prepare a final materials separation plan that includes, as appropriate, changes made in response to any public comments you received on your revised materials separation plan. </w:t>
            </w:r>
          </w:p>
          <w:p w:rsidR="000E6505" w:rsidRPr="000E6505" w:rsidRDefault="000E6505" w:rsidP="000E6505">
            <w:pPr>
              <w:spacing w:before="200" w:after="100" w:afterAutospacing="1" w:line="240" w:lineRule="auto"/>
              <w:rPr>
                <w:rFonts w:ascii="Arial" w:eastAsia="Times New Roman" w:hAnsi="Arial" w:cs="Arial"/>
                <w:sz w:val="20"/>
              </w:rPr>
            </w:pPr>
            <w:hyperlink r:id="rId145" w:anchor="_top" w:history="1">
              <w:r>
                <w:rPr>
                  <w:rFonts w:ascii="Arial" w:eastAsia="Times New Roman" w:hAnsi="Arial" w:cs="Arial"/>
                  <w:noProof/>
                  <w:color w:val="0000FF"/>
                  <w:sz w:val="17"/>
                  <w:szCs w:val="17"/>
                </w:rPr>
                <w:drawing>
                  <wp:inline distT="0" distB="0" distL="0" distR="0">
                    <wp:extent cx="152400" cy="152400"/>
                    <wp:effectExtent l="0" t="0" r="0" b="0"/>
                    <wp:docPr id="27" name="Picture 2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4" w:name="40:7.0.1.1.1.90.153.22"/>
            <w:bookmarkEnd w:id="24"/>
            <w:r w:rsidRPr="000E6505">
              <w:rPr>
                <w:rFonts w:ascii="Arial" w:eastAsia="Times New Roman" w:hAnsi="Arial" w:cs="Arial"/>
                <w:b/>
                <w:bCs/>
                <w:sz w:val="20"/>
              </w:rPr>
              <w:t>§60.1105   How do I submit my final materials separation plan?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As specified under “Reporting” (§60.1380), submit your final materials separation plan to the Administrator as part of the notice of construction for the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146" w:anchor="_top" w:history="1">
              <w:r>
                <w:rPr>
                  <w:rFonts w:ascii="Arial" w:eastAsia="Times New Roman" w:hAnsi="Arial" w:cs="Arial"/>
                  <w:noProof/>
                  <w:color w:val="0000FF"/>
                  <w:sz w:val="17"/>
                  <w:szCs w:val="17"/>
                </w:rPr>
                <w:drawing>
                  <wp:inline distT="0" distB="0" distL="0" distR="0">
                    <wp:extent cx="152400" cy="152400"/>
                    <wp:effectExtent l="0" t="0" r="0" b="0"/>
                    <wp:docPr id="28" name="Picture 2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25" w:name="40:7.0.1.1.1.90.154"/>
            <w:bookmarkEnd w:id="25"/>
            <w:r w:rsidRPr="000E6505">
              <w:rPr>
                <w:rFonts w:ascii="Arial" w:eastAsia="Times New Roman" w:hAnsi="Arial" w:cs="Arial"/>
                <w:b/>
                <w:bCs/>
                <w:smallCaps/>
                <w:sz w:val="27"/>
                <w:szCs w:val="27"/>
              </w:rPr>
              <w:t>Preconstruction Requirements: Siting Analysis</w:t>
            </w:r>
          </w:p>
          <w:p w:rsidR="000E6505" w:rsidRPr="000E6505" w:rsidRDefault="000E6505" w:rsidP="000E6505">
            <w:pPr>
              <w:spacing w:before="200" w:after="100" w:afterAutospacing="1" w:line="240" w:lineRule="auto"/>
              <w:rPr>
                <w:rFonts w:ascii="Arial" w:eastAsia="Times New Roman" w:hAnsi="Arial" w:cs="Arial"/>
                <w:sz w:val="20"/>
              </w:rPr>
            </w:pPr>
            <w:hyperlink r:id="rId147" w:anchor="_top" w:history="1">
              <w:r>
                <w:rPr>
                  <w:rFonts w:ascii="Arial" w:eastAsia="Times New Roman" w:hAnsi="Arial" w:cs="Arial"/>
                  <w:noProof/>
                  <w:color w:val="0000FF"/>
                  <w:sz w:val="17"/>
                  <w:szCs w:val="17"/>
                </w:rPr>
                <w:drawing>
                  <wp:inline distT="0" distB="0" distL="0" distR="0">
                    <wp:extent cx="152400" cy="152400"/>
                    <wp:effectExtent l="0" t="0" r="0" b="0"/>
                    <wp:docPr id="29" name="Picture 2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6" w:name="40:7.0.1.1.1.90.154.23"/>
            <w:bookmarkEnd w:id="26"/>
            <w:r w:rsidRPr="000E6505">
              <w:rPr>
                <w:rFonts w:ascii="Arial" w:eastAsia="Times New Roman" w:hAnsi="Arial" w:cs="Arial"/>
                <w:b/>
                <w:bCs/>
                <w:sz w:val="20"/>
              </w:rPr>
              <w:t>§60.1110   Who must submit a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You must prepare a siting analysis if you commence construction of a small municipal waste combustion unit after December 6, 2000.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If you commence construction on your municipal waste combustion unit after August 30, 1999, but before December 6, 2000, you are not required to prepare the siting analysis specified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You must prepare a siting analysis if you are required to submit an initial application for a construction permit, </w:t>
            </w:r>
            <w:proofErr w:type="gramStart"/>
            <w:r w:rsidRPr="000E6505">
              <w:rPr>
                <w:rFonts w:ascii="Arial" w:eastAsia="Times New Roman" w:hAnsi="Arial" w:cs="Arial"/>
                <w:sz w:val="20"/>
              </w:rPr>
              <w:t>under</w:t>
            </w:r>
            <w:proofErr w:type="gramEnd"/>
            <w:r w:rsidRPr="000E6505">
              <w:rPr>
                <w:rFonts w:ascii="Arial" w:eastAsia="Times New Roman" w:hAnsi="Arial" w:cs="Arial"/>
                <w:sz w:val="20"/>
              </w:rPr>
              <w:t xml:space="preserve"> 40 CFR part 51, subpart I, or part 52, as applicable, for the reconstruction or modification of your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148" w:anchor="_top" w:history="1">
              <w:r>
                <w:rPr>
                  <w:rFonts w:ascii="Arial" w:eastAsia="Times New Roman" w:hAnsi="Arial" w:cs="Arial"/>
                  <w:noProof/>
                  <w:color w:val="0000FF"/>
                  <w:sz w:val="17"/>
                  <w:szCs w:val="17"/>
                </w:rPr>
                <w:drawing>
                  <wp:inline distT="0" distB="0" distL="0" distR="0">
                    <wp:extent cx="152400" cy="152400"/>
                    <wp:effectExtent l="0" t="0" r="0" b="0"/>
                    <wp:docPr id="30" name="Picture 3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7" w:name="40:7.0.1.1.1.90.154.24"/>
            <w:bookmarkEnd w:id="27"/>
            <w:r w:rsidRPr="000E6505">
              <w:rPr>
                <w:rFonts w:ascii="Arial" w:eastAsia="Times New Roman" w:hAnsi="Arial" w:cs="Arial"/>
                <w:b/>
                <w:bCs/>
                <w:sz w:val="20"/>
              </w:rPr>
              <w:t>§60.1115   What is a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The siting analysis addresses how your municipal waste combustion unit affects ambient air quality, visibility, soils, vegetation, and other relevant factors. The analysis can be used to determine whether the benefits of your proposed facility significantly outweigh the environmental and social costs resulting from its location and construction. The analysis must also consider other major industrial facilities near the proposed site. </w:t>
            </w:r>
          </w:p>
          <w:p w:rsidR="000E6505" w:rsidRPr="000E6505" w:rsidRDefault="000E6505" w:rsidP="000E6505">
            <w:pPr>
              <w:spacing w:before="200" w:after="100" w:afterAutospacing="1" w:line="240" w:lineRule="auto"/>
              <w:rPr>
                <w:rFonts w:ascii="Arial" w:eastAsia="Times New Roman" w:hAnsi="Arial" w:cs="Arial"/>
                <w:sz w:val="20"/>
              </w:rPr>
            </w:pPr>
            <w:hyperlink r:id="rId149" w:anchor="_top" w:history="1">
              <w:r>
                <w:rPr>
                  <w:rFonts w:ascii="Arial" w:eastAsia="Times New Roman" w:hAnsi="Arial" w:cs="Arial"/>
                  <w:noProof/>
                  <w:color w:val="0000FF"/>
                  <w:sz w:val="17"/>
                  <w:szCs w:val="17"/>
                </w:rPr>
                <w:drawing>
                  <wp:inline distT="0" distB="0" distL="0" distR="0">
                    <wp:extent cx="152400" cy="152400"/>
                    <wp:effectExtent l="0" t="0" r="0" b="0"/>
                    <wp:docPr id="31" name="Picture 3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8" w:name="40:7.0.1.1.1.90.154.25"/>
            <w:bookmarkEnd w:id="28"/>
            <w:r w:rsidRPr="000E6505">
              <w:rPr>
                <w:rFonts w:ascii="Arial" w:eastAsia="Times New Roman" w:hAnsi="Arial" w:cs="Arial"/>
                <w:b/>
                <w:bCs/>
                <w:sz w:val="20"/>
              </w:rPr>
              <w:t>§60.1120   What steps must I complete for my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(a) For your siting analysis, you must complete five steps: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Prepare an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Make your analysis available to the public.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Hold a public meeting on your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Prepare responses to public comments received on your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Submit your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 may use analyses conducted under the requirements of 40 CFR part 51, subpart I, or part 52, to comply with some of the siting analysis requirements of this subpart. </w:t>
            </w:r>
          </w:p>
          <w:p w:rsidR="000E6505" w:rsidRPr="000E6505" w:rsidRDefault="000E6505" w:rsidP="000E6505">
            <w:pPr>
              <w:spacing w:before="200" w:after="100" w:afterAutospacing="1" w:line="240" w:lineRule="auto"/>
              <w:rPr>
                <w:rFonts w:ascii="Arial" w:eastAsia="Times New Roman" w:hAnsi="Arial" w:cs="Arial"/>
                <w:sz w:val="20"/>
              </w:rPr>
            </w:pPr>
            <w:hyperlink r:id="rId150" w:anchor="_top" w:history="1">
              <w:r>
                <w:rPr>
                  <w:rFonts w:ascii="Arial" w:eastAsia="Times New Roman" w:hAnsi="Arial" w:cs="Arial"/>
                  <w:noProof/>
                  <w:color w:val="0000FF"/>
                  <w:sz w:val="17"/>
                  <w:szCs w:val="17"/>
                </w:rPr>
                <w:drawing>
                  <wp:inline distT="0" distB="0" distL="0" distR="0">
                    <wp:extent cx="152400" cy="152400"/>
                    <wp:effectExtent l="0" t="0" r="0" b="0"/>
                    <wp:docPr id="32" name="Picture 3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29" w:name="40:7.0.1.1.1.90.154.26"/>
            <w:bookmarkEnd w:id="29"/>
            <w:r w:rsidRPr="000E6505">
              <w:rPr>
                <w:rFonts w:ascii="Arial" w:eastAsia="Times New Roman" w:hAnsi="Arial" w:cs="Arial"/>
                <w:b/>
                <w:bCs/>
                <w:sz w:val="20"/>
              </w:rPr>
              <w:t>§60.1125   What must I include in my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Include an analysis of how your municipal waste combustion unit affects four areas: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Ambient air quality.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Visibility.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Soils.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Vegetation.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Include an analysis of alternatives for controlling air pollution that minimize potential risks to the public health and the environment. </w:t>
            </w:r>
          </w:p>
          <w:p w:rsidR="000E6505" w:rsidRPr="000E6505" w:rsidRDefault="000E6505" w:rsidP="000E6505">
            <w:pPr>
              <w:spacing w:before="200" w:after="100" w:afterAutospacing="1" w:line="240" w:lineRule="auto"/>
              <w:rPr>
                <w:rFonts w:ascii="Arial" w:eastAsia="Times New Roman" w:hAnsi="Arial" w:cs="Arial"/>
                <w:sz w:val="20"/>
              </w:rPr>
            </w:pPr>
            <w:hyperlink r:id="rId151" w:anchor="_top" w:history="1">
              <w:r>
                <w:rPr>
                  <w:rFonts w:ascii="Arial" w:eastAsia="Times New Roman" w:hAnsi="Arial" w:cs="Arial"/>
                  <w:noProof/>
                  <w:color w:val="0000FF"/>
                  <w:sz w:val="17"/>
                  <w:szCs w:val="17"/>
                </w:rPr>
                <w:drawing>
                  <wp:inline distT="0" distB="0" distL="0" distR="0">
                    <wp:extent cx="152400" cy="152400"/>
                    <wp:effectExtent l="0" t="0" r="0" b="0"/>
                    <wp:docPr id="33" name="Picture 3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0" w:name="40:7.0.1.1.1.90.154.27"/>
            <w:bookmarkEnd w:id="30"/>
            <w:r w:rsidRPr="000E6505">
              <w:rPr>
                <w:rFonts w:ascii="Arial" w:eastAsia="Times New Roman" w:hAnsi="Arial" w:cs="Arial"/>
                <w:b/>
                <w:bCs/>
                <w:sz w:val="20"/>
              </w:rPr>
              <w:t>§60.1130   How do I make my siting analysis available to the public?</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Distribute your siting analysis and revised materials separation plan to the main public libraries in the area where you will construct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Publish a notice of a public meeting in the main newspapers that serve two areas: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area where you will construct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The areas where the waste that your municipal waste combustion unit combusts will be collected.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Include six items in your notice of the public meeting: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date of the public meeting.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(2) The time of the public meeting.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The location of the public meeting.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The location of the public libraries where the public can find your siting analysis and revised materials separation plan. Include the normal business hours of each library.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An agenda of the topics that will be discussed at the public meeting.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The beginning and ending dates of the public comment period on your siting analysis and revised materials separation plan. </w:t>
            </w:r>
          </w:p>
          <w:p w:rsidR="000E6505" w:rsidRPr="000E6505" w:rsidRDefault="000E6505" w:rsidP="000E6505">
            <w:pPr>
              <w:spacing w:before="200" w:after="100" w:afterAutospacing="1" w:line="240" w:lineRule="auto"/>
              <w:rPr>
                <w:rFonts w:ascii="Arial" w:eastAsia="Times New Roman" w:hAnsi="Arial" w:cs="Arial"/>
                <w:sz w:val="20"/>
              </w:rPr>
            </w:pPr>
            <w:hyperlink r:id="rId152" w:anchor="_top" w:history="1">
              <w:r>
                <w:rPr>
                  <w:rFonts w:ascii="Arial" w:eastAsia="Times New Roman" w:hAnsi="Arial" w:cs="Arial"/>
                  <w:noProof/>
                  <w:color w:val="0000FF"/>
                  <w:sz w:val="17"/>
                  <w:szCs w:val="17"/>
                </w:rPr>
                <w:drawing>
                  <wp:inline distT="0" distB="0" distL="0" distR="0">
                    <wp:extent cx="152400" cy="152400"/>
                    <wp:effectExtent l="0" t="0" r="0" b="0"/>
                    <wp:docPr id="34" name="Picture 3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1" w:name="40:7.0.1.1.1.90.154.28"/>
            <w:bookmarkEnd w:id="31"/>
            <w:r w:rsidRPr="000E6505">
              <w:rPr>
                <w:rFonts w:ascii="Arial" w:eastAsia="Times New Roman" w:hAnsi="Arial" w:cs="Arial"/>
                <w:b/>
                <w:bCs/>
                <w:sz w:val="20"/>
              </w:rPr>
              <w:t>§60.1135   When must I accept comments on the siting analysis and revised materials separation plan?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You must accept verbal comments at the public meeting.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 must accept written comments anytime during the period that begins on the date the document is distributed to the main public libraries and ends 30 days after the date of the public meeting. </w:t>
            </w:r>
          </w:p>
          <w:p w:rsidR="000E6505" w:rsidRPr="000E6505" w:rsidRDefault="000E6505" w:rsidP="000E6505">
            <w:pPr>
              <w:spacing w:before="200" w:after="100" w:afterAutospacing="1" w:line="240" w:lineRule="auto"/>
              <w:rPr>
                <w:rFonts w:ascii="Arial" w:eastAsia="Times New Roman" w:hAnsi="Arial" w:cs="Arial"/>
                <w:sz w:val="20"/>
              </w:rPr>
            </w:pPr>
            <w:hyperlink r:id="rId153" w:anchor="_top" w:history="1">
              <w:r>
                <w:rPr>
                  <w:rFonts w:ascii="Arial" w:eastAsia="Times New Roman" w:hAnsi="Arial" w:cs="Arial"/>
                  <w:noProof/>
                  <w:color w:val="0000FF"/>
                  <w:sz w:val="17"/>
                  <w:szCs w:val="17"/>
                </w:rPr>
                <w:drawing>
                  <wp:inline distT="0" distB="0" distL="0" distR="0">
                    <wp:extent cx="152400" cy="152400"/>
                    <wp:effectExtent l="0" t="0" r="0" b="0"/>
                    <wp:docPr id="35" name="Picture 3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2" w:name="40:7.0.1.1.1.90.154.29"/>
            <w:bookmarkEnd w:id="32"/>
            <w:r w:rsidRPr="000E6505">
              <w:rPr>
                <w:rFonts w:ascii="Arial" w:eastAsia="Times New Roman" w:hAnsi="Arial" w:cs="Arial"/>
                <w:b/>
                <w:bCs/>
                <w:sz w:val="20"/>
              </w:rPr>
              <w:t>§60.1140   Where and when must I hold a public meeting on the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You must hold a public meeting to discuss and accept comments on your siting analysis and your revised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 must hold the public meeting in the county where you will construct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You must schedule the public meeting to occur at least 30 days after you make your siting analysis and revised materials separation plan available to the public.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You must prepare a transcript of the public meeting on your siting analysis. </w:t>
            </w:r>
          </w:p>
          <w:p w:rsidR="000E6505" w:rsidRPr="000E6505" w:rsidRDefault="000E6505" w:rsidP="000E6505">
            <w:pPr>
              <w:spacing w:before="200" w:after="100" w:afterAutospacing="1" w:line="240" w:lineRule="auto"/>
              <w:rPr>
                <w:rFonts w:ascii="Arial" w:eastAsia="Times New Roman" w:hAnsi="Arial" w:cs="Arial"/>
                <w:sz w:val="20"/>
              </w:rPr>
            </w:pPr>
            <w:hyperlink r:id="rId154" w:anchor="_top" w:history="1">
              <w:r>
                <w:rPr>
                  <w:rFonts w:ascii="Arial" w:eastAsia="Times New Roman" w:hAnsi="Arial" w:cs="Arial"/>
                  <w:noProof/>
                  <w:color w:val="0000FF"/>
                  <w:sz w:val="17"/>
                  <w:szCs w:val="17"/>
                </w:rPr>
                <w:drawing>
                  <wp:inline distT="0" distB="0" distL="0" distR="0">
                    <wp:extent cx="152400" cy="152400"/>
                    <wp:effectExtent l="0" t="0" r="0" b="0"/>
                    <wp:docPr id="36" name="Picture 3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3" w:name="40:7.0.1.1.1.90.154.30"/>
            <w:bookmarkEnd w:id="33"/>
            <w:r w:rsidRPr="000E6505">
              <w:rPr>
                <w:rFonts w:ascii="Arial" w:eastAsia="Times New Roman" w:hAnsi="Arial" w:cs="Arial"/>
                <w:b/>
                <w:bCs/>
                <w:sz w:val="20"/>
              </w:rPr>
              <w:t>§60.1145   What must I do with any public comments I receive during the public comment period on my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do three things: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Prepare written responses to any public comments on your siting analysis and the revised materials separation plan you received during the public comment period. Summarize the responses to public comments in a document that is separate from your materials separation plan and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Make the comment response document available to the public in the service area where you will construct your municipal waste combustion unit. You must distribute the document at least to the main </w:t>
            </w:r>
            <w:r w:rsidRPr="000E6505">
              <w:rPr>
                <w:rFonts w:ascii="Arial" w:eastAsia="Times New Roman" w:hAnsi="Arial" w:cs="Arial"/>
                <w:sz w:val="20"/>
              </w:rPr>
              <w:lastRenderedPageBreak/>
              <w:t xml:space="preserve">public libraries used to announce the public meeting for the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Prepare a revised siting analysis for the municipal waste combustion unit that includes, as appropriate, changes made in response to any public comments you received during the public comment period. </w:t>
            </w:r>
          </w:p>
          <w:p w:rsidR="000E6505" w:rsidRPr="000E6505" w:rsidRDefault="000E6505" w:rsidP="000E6505">
            <w:pPr>
              <w:spacing w:before="200" w:after="100" w:afterAutospacing="1" w:line="240" w:lineRule="auto"/>
              <w:rPr>
                <w:rFonts w:ascii="Arial" w:eastAsia="Times New Roman" w:hAnsi="Arial" w:cs="Arial"/>
                <w:sz w:val="20"/>
              </w:rPr>
            </w:pPr>
            <w:hyperlink r:id="rId155" w:anchor="_top" w:history="1">
              <w:r>
                <w:rPr>
                  <w:rFonts w:ascii="Arial" w:eastAsia="Times New Roman" w:hAnsi="Arial" w:cs="Arial"/>
                  <w:noProof/>
                  <w:color w:val="0000FF"/>
                  <w:sz w:val="17"/>
                  <w:szCs w:val="17"/>
                </w:rPr>
                <w:drawing>
                  <wp:inline distT="0" distB="0" distL="0" distR="0">
                    <wp:extent cx="152400" cy="152400"/>
                    <wp:effectExtent l="0" t="0" r="0" b="0"/>
                    <wp:docPr id="37" name="Picture 3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4" w:name="40:7.0.1.1.1.90.154.31"/>
            <w:bookmarkEnd w:id="34"/>
            <w:r w:rsidRPr="000E6505">
              <w:rPr>
                <w:rFonts w:ascii="Arial" w:eastAsia="Times New Roman" w:hAnsi="Arial" w:cs="Arial"/>
                <w:b/>
                <w:bCs/>
                <w:sz w:val="20"/>
              </w:rPr>
              <w:t>§60.1150   How do I submit my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As specified under “Reporting” (§60.1380), submit four items as part of the notice of construction: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Your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Your notice of the public meeting on your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A transcript of the public meeting on your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The document that summarizes your responses to the public comments you received during the public comment period. </w:t>
            </w:r>
          </w:p>
          <w:p w:rsidR="000E6505" w:rsidRPr="000E6505" w:rsidRDefault="000E6505" w:rsidP="000E6505">
            <w:pPr>
              <w:spacing w:before="200" w:after="100" w:afterAutospacing="1" w:line="240" w:lineRule="auto"/>
              <w:rPr>
                <w:rFonts w:ascii="Arial" w:eastAsia="Times New Roman" w:hAnsi="Arial" w:cs="Arial"/>
                <w:sz w:val="20"/>
              </w:rPr>
            </w:pPr>
            <w:hyperlink r:id="rId156" w:anchor="_top" w:history="1">
              <w:r>
                <w:rPr>
                  <w:rFonts w:ascii="Arial" w:eastAsia="Times New Roman" w:hAnsi="Arial" w:cs="Arial"/>
                  <w:noProof/>
                  <w:color w:val="0000FF"/>
                  <w:sz w:val="17"/>
                  <w:szCs w:val="17"/>
                </w:rPr>
                <w:drawing>
                  <wp:inline distT="0" distB="0" distL="0" distR="0">
                    <wp:extent cx="152400" cy="152400"/>
                    <wp:effectExtent l="0" t="0" r="0" b="0"/>
                    <wp:docPr id="38" name="Picture 3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35" w:name="40:7.0.1.1.1.90.155"/>
            <w:bookmarkEnd w:id="35"/>
            <w:r w:rsidRPr="000E6505">
              <w:rPr>
                <w:rFonts w:ascii="Arial" w:eastAsia="Times New Roman" w:hAnsi="Arial" w:cs="Arial"/>
                <w:b/>
                <w:bCs/>
                <w:smallCaps/>
                <w:sz w:val="27"/>
                <w:szCs w:val="27"/>
              </w:rPr>
              <w:t>Good Combustion Practices: Operator Training</w:t>
            </w:r>
          </w:p>
          <w:p w:rsidR="000E6505" w:rsidRPr="000E6505" w:rsidRDefault="000E6505" w:rsidP="000E6505">
            <w:pPr>
              <w:spacing w:before="200" w:after="100" w:afterAutospacing="1" w:line="240" w:lineRule="auto"/>
              <w:rPr>
                <w:rFonts w:ascii="Arial" w:eastAsia="Times New Roman" w:hAnsi="Arial" w:cs="Arial"/>
                <w:sz w:val="20"/>
              </w:rPr>
            </w:pPr>
            <w:hyperlink r:id="rId157" w:anchor="_top" w:history="1">
              <w:r>
                <w:rPr>
                  <w:rFonts w:ascii="Arial" w:eastAsia="Times New Roman" w:hAnsi="Arial" w:cs="Arial"/>
                  <w:noProof/>
                  <w:color w:val="0000FF"/>
                  <w:sz w:val="17"/>
                  <w:szCs w:val="17"/>
                </w:rPr>
                <w:drawing>
                  <wp:inline distT="0" distB="0" distL="0" distR="0">
                    <wp:extent cx="152400" cy="152400"/>
                    <wp:effectExtent l="0" t="0" r="0" b="0"/>
                    <wp:docPr id="39" name="Picture 3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6" w:name="40:7.0.1.1.1.90.155.32"/>
            <w:bookmarkEnd w:id="36"/>
            <w:r w:rsidRPr="000E6505">
              <w:rPr>
                <w:rFonts w:ascii="Arial" w:eastAsia="Times New Roman" w:hAnsi="Arial" w:cs="Arial"/>
                <w:b/>
                <w:bCs/>
                <w:sz w:val="20"/>
              </w:rPr>
              <w:t>§60.1155   What types of training must I do?</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There are two types of required training: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Training of operators of municipal waste combustion units using the U.S. Environmental Protection Agency (EPA) or a State-approved training course.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Training of plant personnel using a plant-specific training course. </w:t>
            </w:r>
          </w:p>
          <w:p w:rsidR="000E6505" w:rsidRPr="000E6505" w:rsidRDefault="000E6505" w:rsidP="000E6505">
            <w:pPr>
              <w:spacing w:before="200" w:after="100" w:afterAutospacing="1" w:line="240" w:lineRule="auto"/>
              <w:rPr>
                <w:rFonts w:ascii="Arial" w:eastAsia="Times New Roman" w:hAnsi="Arial" w:cs="Arial"/>
                <w:sz w:val="20"/>
              </w:rPr>
            </w:pPr>
            <w:hyperlink r:id="rId158" w:anchor="_top" w:history="1">
              <w:r>
                <w:rPr>
                  <w:rFonts w:ascii="Arial" w:eastAsia="Times New Roman" w:hAnsi="Arial" w:cs="Arial"/>
                  <w:noProof/>
                  <w:color w:val="0000FF"/>
                  <w:sz w:val="17"/>
                  <w:szCs w:val="17"/>
                </w:rPr>
                <w:drawing>
                  <wp:inline distT="0" distB="0" distL="0" distR="0">
                    <wp:extent cx="152400" cy="152400"/>
                    <wp:effectExtent l="0" t="0" r="0" b="0"/>
                    <wp:docPr id="40" name="Picture 4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7" w:name="40:7.0.1.1.1.90.155.33"/>
            <w:bookmarkEnd w:id="37"/>
            <w:r w:rsidRPr="000E6505">
              <w:rPr>
                <w:rFonts w:ascii="Arial" w:eastAsia="Times New Roman" w:hAnsi="Arial" w:cs="Arial"/>
                <w:b/>
                <w:bCs/>
                <w:sz w:val="20"/>
              </w:rPr>
              <w:t>§60.1160   Who must complete the operator training course? By when?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Three types of employees must complete the EPA or State-approved operator training course: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Chief facility operators.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Shift supervisors.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Control room operators.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Those employees must complete the operator training course by the later of three dates: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(1) Six months after your municipal waste combustion unit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December 6, 2001.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The date before an employee assumes responsibilities that affect operation of the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159" w:anchor="_top" w:history="1">
              <w:r>
                <w:rPr>
                  <w:rFonts w:ascii="Arial" w:eastAsia="Times New Roman" w:hAnsi="Arial" w:cs="Arial"/>
                  <w:noProof/>
                  <w:color w:val="0000FF"/>
                  <w:sz w:val="17"/>
                  <w:szCs w:val="17"/>
                </w:rPr>
                <w:drawing>
                  <wp:inline distT="0" distB="0" distL="0" distR="0">
                    <wp:extent cx="152400" cy="152400"/>
                    <wp:effectExtent l="0" t="0" r="0" b="0"/>
                    <wp:docPr id="41" name="Picture 4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8" w:name="40:7.0.1.1.1.90.155.34"/>
            <w:bookmarkEnd w:id="38"/>
            <w:r w:rsidRPr="000E6505">
              <w:rPr>
                <w:rFonts w:ascii="Arial" w:eastAsia="Times New Roman" w:hAnsi="Arial" w:cs="Arial"/>
                <w:b/>
                <w:bCs/>
                <w:sz w:val="20"/>
              </w:rPr>
              <w:t>§60.1165   Who must complete the plant-specific training course?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All employees with responsibilities that affect how a municipal waste combustion unit operates must complete the plant-specific training course. Include at least six types of employees: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Chief facility operators.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Shift supervisors.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Control room operators.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Ash handlers.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Maintenance personnel.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Crane or load handlers. </w:t>
            </w:r>
          </w:p>
          <w:p w:rsidR="000E6505" w:rsidRPr="000E6505" w:rsidRDefault="000E6505" w:rsidP="000E6505">
            <w:pPr>
              <w:spacing w:before="200" w:after="100" w:afterAutospacing="1" w:line="240" w:lineRule="auto"/>
              <w:rPr>
                <w:rFonts w:ascii="Arial" w:eastAsia="Times New Roman" w:hAnsi="Arial" w:cs="Arial"/>
                <w:sz w:val="20"/>
              </w:rPr>
            </w:pPr>
            <w:hyperlink r:id="rId160" w:anchor="_top" w:history="1">
              <w:r>
                <w:rPr>
                  <w:rFonts w:ascii="Arial" w:eastAsia="Times New Roman" w:hAnsi="Arial" w:cs="Arial"/>
                  <w:noProof/>
                  <w:color w:val="0000FF"/>
                  <w:sz w:val="17"/>
                  <w:szCs w:val="17"/>
                </w:rPr>
                <w:drawing>
                  <wp:inline distT="0" distB="0" distL="0" distR="0">
                    <wp:extent cx="152400" cy="152400"/>
                    <wp:effectExtent l="0" t="0" r="0" b="0"/>
                    <wp:docPr id="42" name="Picture 4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39" w:name="40:7.0.1.1.1.90.155.35"/>
            <w:bookmarkEnd w:id="39"/>
            <w:r w:rsidRPr="000E6505">
              <w:rPr>
                <w:rFonts w:ascii="Arial" w:eastAsia="Times New Roman" w:hAnsi="Arial" w:cs="Arial"/>
                <w:b/>
                <w:bCs/>
                <w:sz w:val="20"/>
              </w:rPr>
              <w:t>§60.1170   What plant-specific training must I provide?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For plant-specific training, you must do four things: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For training at a particular plant, develop a specific operating manual for that plant by the later of two dates: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Six months after your municipal waste combustion unit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December 6, 2001.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Establish a program to review the plant-specific operating manual with people whose responsibilities affect the operation of your municipal waste combustion unit. Complete the initial review by the later of three dates: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Six months after your municipal waste combustion unit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December 6, 2001.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The date before an employee assumes responsibilities that affect operation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(c) Update your manual annually.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Review your manual with staff annually. </w:t>
            </w:r>
          </w:p>
          <w:p w:rsidR="000E6505" w:rsidRPr="000E6505" w:rsidRDefault="000E6505" w:rsidP="000E6505">
            <w:pPr>
              <w:spacing w:before="200" w:after="100" w:afterAutospacing="1" w:line="240" w:lineRule="auto"/>
              <w:rPr>
                <w:rFonts w:ascii="Arial" w:eastAsia="Times New Roman" w:hAnsi="Arial" w:cs="Arial"/>
                <w:sz w:val="20"/>
              </w:rPr>
            </w:pPr>
            <w:hyperlink r:id="rId161" w:anchor="_top" w:history="1">
              <w:r>
                <w:rPr>
                  <w:rFonts w:ascii="Arial" w:eastAsia="Times New Roman" w:hAnsi="Arial" w:cs="Arial"/>
                  <w:noProof/>
                  <w:color w:val="0000FF"/>
                  <w:sz w:val="17"/>
                  <w:szCs w:val="17"/>
                </w:rPr>
                <w:drawing>
                  <wp:inline distT="0" distB="0" distL="0" distR="0">
                    <wp:extent cx="152400" cy="152400"/>
                    <wp:effectExtent l="0" t="0" r="0" b="0"/>
                    <wp:docPr id="43" name="Picture 4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0" w:name="40:7.0.1.1.1.90.155.36"/>
            <w:bookmarkEnd w:id="40"/>
            <w:r w:rsidRPr="000E6505">
              <w:rPr>
                <w:rFonts w:ascii="Arial" w:eastAsia="Times New Roman" w:hAnsi="Arial" w:cs="Arial"/>
                <w:b/>
                <w:bCs/>
                <w:sz w:val="20"/>
              </w:rPr>
              <w:t>§60.1175   What information must I include in the plant-specific operating manual?</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include 11 items in the operating manual for your plant: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A summary of all applicable requirements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A description of the basic combustion principles that apply to municipal waste combustion units.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Procedures for receiving, handling, and feeding municipal solid waste.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Procedures to be followed during periods of startup, shutdown, and malfunction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Procedures for maintaining a proper level of combustion air supply.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Procedures for operating the municipal waste combustion unit in compliance with the requirements contained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(g) Procedures for responding to periodic upset or off-specification conditions.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(h) Procedures for minimizing carryover of particulate matter.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Procedures for handling ash.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(j) Procedures for monitoring emissions from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(k) Procedures for recordkeeping and reporting. </w:t>
            </w:r>
          </w:p>
          <w:p w:rsidR="000E6505" w:rsidRPr="000E6505" w:rsidRDefault="000E6505" w:rsidP="000E6505">
            <w:pPr>
              <w:spacing w:before="200" w:after="100" w:afterAutospacing="1" w:line="240" w:lineRule="auto"/>
              <w:rPr>
                <w:rFonts w:ascii="Arial" w:eastAsia="Times New Roman" w:hAnsi="Arial" w:cs="Arial"/>
                <w:sz w:val="20"/>
              </w:rPr>
            </w:pPr>
            <w:hyperlink r:id="rId162" w:anchor="_top" w:history="1">
              <w:r>
                <w:rPr>
                  <w:rFonts w:ascii="Arial" w:eastAsia="Times New Roman" w:hAnsi="Arial" w:cs="Arial"/>
                  <w:noProof/>
                  <w:color w:val="0000FF"/>
                  <w:sz w:val="17"/>
                  <w:szCs w:val="17"/>
                </w:rPr>
                <w:drawing>
                  <wp:inline distT="0" distB="0" distL="0" distR="0">
                    <wp:extent cx="152400" cy="152400"/>
                    <wp:effectExtent l="0" t="0" r="0" b="0"/>
                    <wp:docPr id="44" name="Picture 4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1" w:name="40:7.0.1.1.1.90.155.37"/>
            <w:bookmarkEnd w:id="41"/>
            <w:r w:rsidRPr="000E6505">
              <w:rPr>
                <w:rFonts w:ascii="Arial" w:eastAsia="Times New Roman" w:hAnsi="Arial" w:cs="Arial"/>
                <w:b/>
                <w:bCs/>
                <w:sz w:val="20"/>
              </w:rPr>
              <w:t>§60.1180   Where must I keep the plant-specific operating manual?</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keep your operating manual in an easily accessible location at your plant. It must be available for review or inspection by all employees who must review it and by the Administrator. </w:t>
            </w:r>
          </w:p>
          <w:p w:rsidR="000E6505" w:rsidRPr="000E6505" w:rsidRDefault="000E6505" w:rsidP="000E6505">
            <w:pPr>
              <w:spacing w:before="200" w:after="100" w:afterAutospacing="1" w:line="240" w:lineRule="auto"/>
              <w:rPr>
                <w:rFonts w:ascii="Arial" w:eastAsia="Times New Roman" w:hAnsi="Arial" w:cs="Arial"/>
                <w:sz w:val="20"/>
              </w:rPr>
            </w:pPr>
            <w:hyperlink r:id="rId163" w:anchor="_top" w:history="1">
              <w:r>
                <w:rPr>
                  <w:rFonts w:ascii="Arial" w:eastAsia="Times New Roman" w:hAnsi="Arial" w:cs="Arial"/>
                  <w:noProof/>
                  <w:color w:val="0000FF"/>
                  <w:sz w:val="17"/>
                  <w:szCs w:val="17"/>
                </w:rPr>
                <w:drawing>
                  <wp:inline distT="0" distB="0" distL="0" distR="0">
                    <wp:extent cx="152400" cy="152400"/>
                    <wp:effectExtent l="0" t="0" r="0" b="0"/>
                    <wp:docPr id="45" name="Picture 4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42" w:name="40:7.0.1.1.1.90.156"/>
            <w:bookmarkEnd w:id="42"/>
            <w:r w:rsidRPr="000E6505">
              <w:rPr>
                <w:rFonts w:ascii="Arial" w:eastAsia="Times New Roman" w:hAnsi="Arial" w:cs="Arial"/>
                <w:b/>
                <w:bCs/>
                <w:smallCaps/>
                <w:sz w:val="27"/>
                <w:szCs w:val="27"/>
              </w:rPr>
              <w:t>Good Combustion Practices: Operator Certification</w:t>
            </w:r>
          </w:p>
          <w:p w:rsidR="000E6505" w:rsidRPr="000E6505" w:rsidRDefault="000E6505" w:rsidP="000E6505">
            <w:pPr>
              <w:spacing w:before="200" w:after="100" w:afterAutospacing="1" w:line="240" w:lineRule="auto"/>
              <w:rPr>
                <w:rFonts w:ascii="Arial" w:eastAsia="Times New Roman" w:hAnsi="Arial" w:cs="Arial"/>
                <w:sz w:val="20"/>
              </w:rPr>
            </w:pPr>
            <w:hyperlink r:id="rId164" w:anchor="_top" w:history="1">
              <w:r>
                <w:rPr>
                  <w:rFonts w:ascii="Arial" w:eastAsia="Times New Roman" w:hAnsi="Arial" w:cs="Arial"/>
                  <w:noProof/>
                  <w:color w:val="0000FF"/>
                  <w:sz w:val="17"/>
                  <w:szCs w:val="17"/>
                </w:rPr>
                <w:drawing>
                  <wp:inline distT="0" distB="0" distL="0" distR="0">
                    <wp:extent cx="152400" cy="152400"/>
                    <wp:effectExtent l="0" t="0" r="0" b="0"/>
                    <wp:docPr id="46" name="Picture 4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3" w:name="40:7.0.1.1.1.90.156.38"/>
            <w:bookmarkEnd w:id="43"/>
            <w:r w:rsidRPr="000E6505">
              <w:rPr>
                <w:rFonts w:ascii="Arial" w:eastAsia="Times New Roman" w:hAnsi="Arial" w:cs="Arial"/>
                <w:b/>
                <w:bCs/>
                <w:sz w:val="20"/>
              </w:rPr>
              <w:t>§60.1185   What types of operator certification must the chief facility operator and shift supervisor obtain and by when must they obtain it?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(a) Each chief facility operator and shift supervisor must obtain and keep a current provisional operator certification from the American Society of Mechanical Engineers (QRO-1-1994) (incorporated by reference in §60.17(h)(1)) or a current provisional operator certification from your State certification program.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Each chief facility operator and shift supervisor must obtain a provisional certification by the later of three dates: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Six months after the municipal waste combustion unit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December 6, 2001.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Six months after they transfer to the municipal waste combustion unit or 6 months after they are hired to work at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Each chief facility operator and shift supervisor must take one of three actions: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Obtain a full certification from the American Society of Mechanical Engineers or a State certification program in your State.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(2) Schedule a full certification exam with the American Society of Mechanical Engineers (QRO-1-1994) (incorporated by reference in §60.17(h</w:t>
            </w:r>
            <w:proofErr w:type="gramStart"/>
            <w:r w:rsidRPr="000E6505">
              <w:rPr>
                <w:rFonts w:ascii="Arial" w:eastAsia="Times New Roman" w:hAnsi="Arial" w:cs="Arial"/>
                <w:sz w:val="20"/>
              </w:rPr>
              <w:t>)(</w:t>
            </w:r>
            <w:proofErr w:type="gramEnd"/>
            <w:r w:rsidRPr="000E6505">
              <w:rPr>
                <w:rFonts w:ascii="Arial" w:eastAsia="Times New Roman" w:hAnsi="Arial" w:cs="Arial"/>
                <w:sz w:val="20"/>
              </w:rPr>
              <w:t xml:space="preserve">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Schedule a full certification exam with your State certification program.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The chief facility operator and shift supervisor must obtain the full certification or be scheduled to take the certification exam by the later of three dates: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Six months after the municipal waste combustion unit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December 6, 2001.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Six months after they transfer to the municipal waste combustion unit or 6 months after they are hired to work at the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165" w:anchor="_top" w:history="1">
              <w:r>
                <w:rPr>
                  <w:rFonts w:ascii="Arial" w:eastAsia="Times New Roman" w:hAnsi="Arial" w:cs="Arial"/>
                  <w:noProof/>
                  <w:color w:val="0000FF"/>
                  <w:sz w:val="17"/>
                  <w:szCs w:val="17"/>
                </w:rPr>
                <w:drawing>
                  <wp:inline distT="0" distB="0" distL="0" distR="0">
                    <wp:extent cx="152400" cy="152400"/>
                    <wp:effectExtent l="0" t="0" r="0" b="0"/>
                    <wp:docPr id="47" name="Picture 4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4" w:name="40:7.0.1.1.1.90.156.39"/>
            <w:bookmarkEnd w:id="44"/>
            <w:r w:rsidRPr="000E6505">
              <w:rPr>
                <w:rFonts w:ascii="Arial" w:eastAsia="Times New Roman" w:hAnsi="Arial" w:cs="Arial"/>
                <w:b/>
                <w:bCs/>
                <w:sz w:val="20"/>
              </w:rPr>
              <w:t>§60.1190   After the required date for operator certification, who may operate the municipal waste combustion unit?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After the required date for full or provisional certifications, you must not operate your municipal waste combustion unit unless one of four employees is on duty: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A fully certified chief facility operator.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A provisionally certified chief facility operator who is scheduled to take the full certification exam.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A fully certified shift supervisor.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A provisionally certified shift supervisor who is scheduled to take the full certification exam. </w:t>
            </w:r>
          </w:p>
          <w:p w:rsidR="000E6505" w:rsidRPr="000E6505" w:rsidRDefault="000E6505" w:rsidP="000E6505">
            <w:pPr>
              <w:spacing w:before="200" w:after="100" w:afterAutospacing="1" w:line="240" w:lineRule="auto"/>
              <w:rPr>
                <w:rFonts w:ascii="Arial" w:eastAsia="Times New Roman" w:hAnsi="Arial" w:cs="Arial"/>
                <w:sz w:val="20"/>
              </w:rPr>
            </w:pPr>
            <w:hyperlink r:id="rId166" w:anchor="_top" w:history="1">
              <w:r>
                <w:rPr>
                  <w:rFonts w:ascii="Arial" w:eastAsia="Times New Roman" w:hAnsi="Arial" w:cs="Arial"/>
                  <w:noProof/>
                  <w:color w:val="0000FF"/>
                  <w:sz w:val="17"/>
                  <w:szCs w:val="17"/>
                </w:rPr>
                <w:drawing>
                  <wp:inline distT="0" distB="0" distL="0" distR="0">
                    <wp:extent cx="152400" cy="152400"/>
                    <wp:effectExtent l="0" t="0" r="0" b="0"/>
                    <wp:docPr id="48" name="Picture 4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5" w:name="40:7.0.1.1.1.90.156.40"/>
            <w:bookmarkEnd w:id="45"/>
            <w:r w:rsidRPr="000E6505">
              <w:rPr>
                <w:rFonts w:ascii="Arial" w:eastAsia="Times New Roman" w:hAnsi="Arial" w:cs="Arial"/>
                <w:b/>
                <w:bCs/>
                <w:sz w:val="20"/>
              </w:rPr>
              <w:t>§60.1195   What if all the certified operators must be temporarily offsite?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If the certified chief facility operator and certified shift supervisor both are unavailable, a provisionally certified control room operator at the municipal waste combustion unit may fulfill the certified operator requirement. Depending on the length of time that a certified chief facility operator and certified shift supervisor are away, you must meet one of three criteria: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When the certified chief facility operator and certified shift supervisor are both offsite for 12 hours or less, and no other certified operator is onsite, the provisionally certified control room operator may perform those duties without notice to, or approval by, the Administrator.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When the certified chief facility operator and certified shift supervisor are offsite for more than 12 hours, but for 2 weeks or less, and no other certified operator is onsite, the provisionally certified control room operator may perform those duties without notice to, or approval by, the Administrator. However, you must record the period when the certified chief facility operator and certified shift supervisor are offsite and include that information in the annual report as specified under §60.1410(l).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When the certified chief facility operator and certified shift supervisor are offsite for more than 2 weeks, and no other certified operator is onsite, the provisionally certified control room operator may perform those duties without notice to, or approval by, the Administrator. However, you must take two actions: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Notify the Administrator in writing. In the notice, state what caused the absence and what you are doing to ensure that a certified chief facility operator or certified shift supervisor is </w:t>
            </w:r>
            <w:proofErr w:type="gramStart"/>
            <w:r w:rsidRPr="000E6505">
              <w:rPr>
                <w:rFonts w:ascii="Arial" w:eastAsia="Times New Roman" w:hAnsi="Arial" w:cs="Arial"/>
                <w:sz w:val="20"/>
              </w:rPr>
              <w:t>onsite.</w:t>
            </w:r>
            <w:proofErr w:type="gramEnd"/>
            <w:r w:rsidRPr="000E6505">
              <w:rPr>
                <w:rFonts w:ascii="Arial" w:eastAsia="Times New Roman" w:hAnsi="Arial" w:cs="Arial"/>
                <w:sz w:val="20"/>
              </w:rPr>
              <w:t xml:space="preserv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Submit a status report and corrective action summary to the Administrator every 4 weeks following the initial notification. If the Administrator notifies you that your status report or corrective action summary is disapproved, the municipal waste combustion unit may continue operation for 90 days, but then must cease operation. If corrective actions are taken in the 90-day period such that the Administrator withdraws the disapproval, municipal waste combustion unit operation may continue. </w:t>
            </w:r>
          </w:p>
          <w:p w:rsidR="000E6505" w:rsidRPr="000E6505" w:rsidRDefault="000E6505" w:rsidP="000E6505">
            <w:pPr>
              <w:spacing w:before="200" w:after="100" w:afterAutospacing="1" w:line="240" w:lineRule="auto"/>
              <w:rPr>
                <w:rFonts w:ascii="Arial" w:eastAsia="Times New Roman" w:hAnsi="Arial" w:cs="Arial"/>
                <w:sz w:val="20"/>
              </w:rPr>
            </w:pPr>
            <w:hyperlink r:id="rId167" w:anchor="_top" w:history="1">
              <w:r>
                <w:rPr>
                  <w:rFonts w:ascii="Arial" w:eastAsia="Times New Roman" w:hAnsi="Arial" w:cs="Arial"/>
                  <w:noProof/>
                  <w:color w:val="0000FF"/>
                  <w:sz w:val="17"/>
                  <w:szCs w:val="17"/>
                </w:rPr>
                <w:drawing>
                  <wp:inline distT="0" distB="0" distL="0" distR="0">
                    <wp:extent cx="152400" cy="152400"/>
                    <wp:effectExtent l="0" t="0" r="0" b="0"/>
                    <wp:docPr id="49" name="Picture 4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46" w:name="40:7.0.1.1.1.90.157"/>
            <w:bookmarkEnd w:id="46"/>
            <w:r w:rsidRPr="000E6505">
              <w:rPr>
                <w:rFonts w:ascii="Arial" w:eastAsia="Times New Roman" w:hAnsi="Arial" w:cs="Arial"/>
                <w:b/>
                <w:bCs/>
                <w:smallCaps/>
                <w:sz w:val="27"/>
                <w:szCs w:val="27"/>
              </w:rPr>
              <w:t>Good Combustion Practices: Operating Requirements</w:t>
            </w:r>
          </w:p>
          <w:p w:rsidR="000E6505" w:rsidRPr="000E6505" w:rsidRDefault="000E6505" w:rsidP="000E6505">
            <w:pPr>
              <w:spacing w:before="200" w:after="100" w:afterAutospacing="1" w:line="240" w:lineRule="auto"/>
              <w:rPr>
                <w:rFonts w:ascii="Arial" w:eastAsia="Times New Roman" w:hAnsi="Arial" w:cs="Arial"/>
                <w:sz w:val="20"/>
              </w:rPr>
            </w:pPr>
            <w:hyperlink r:id="rId168" w:anchor="_top" w:history="1">
              <w:r>
                <w:rPr>
                  <w:rFonts w:ascii="Arial" w:eastAsia="Times New Roman" w:hAnsi="Arial" w:cs="Arial"/>
                  <w:noProof/>
                  <w:color w:val="0000FF"/>
                  <w:sz w:val="17"/>
                  <w:szCs w:val="17"/>
                </w:rPr>
                <w:drawing>
                  <wp:inline distT="0" distB="0" distL="0" distR="0">
                    <wp:extent cx="152400" cy="152400"/>
                    <wp:effectExtent l="0" t="0" r="0" b="0"/>
                    <wp:docPr id="50" name="Picture 5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7" w:name="40:7.0.1.1.1.90.157.41"/>
            <w:bookmarkEnd w:id="47"/>
            <w:r w:rsidRPr="000E6505">
              <w:rPr>
                <w:rFonts w:ascii="Arial" w:eastAsia="Times New Roman" w:hAnsi="Arial" w:cs="Arial"/>
                <w:b/>
                <w:bCs/>
                <w:sz w:val="20"/>
              </w:rPr>
              <w:t>§60.1200   What are the operating practice requirements for my municipal waste combustion unit?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You must not operate your municipal waste combustion unit at loads greater than 110 percent of the maximum demonstrated load of the municipal waste combustion unit (4-hour block average), as specified under “Definitions” (§60.1465).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 must not operate your municipal waste combustion unit so that the temperature at the inlet of the particulate matter control device exceeds 17 °C above the maximum demonstrated temperature of the particulate matter control device (4-hour block average), as specified under “Definitions” (§60.1465).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If your municipal waste combustion unit uses activated carbon to control dioxins/furans or mercury emissions, you must maintain an 8-hour block average carbon feed rate at or above the highest </w:t>
            </w:r>
            <w:r w:rsidRPr="000E6505">
              <w:rPr>
                <w:rFonts w:ascii="Arial" w:eastAsia="Times New Roman" w:hAnsi="Arial" w:cs="Arial"/>
                <w:sz w:val="20"/>
              </w:rPr>
              <w:lastRenderedPageBreak/>
              <w:t xml:space="preserve">average level established during the most recent dioxins/furans or mercury test.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If your municipal waste combustion unit uses activated carbon to control dioxins/furans or mercury emissions, you must evaluate total carbon usage for each calendar quarter. The total amount of carbon purchased and delivered to your municipal waste combustion plant must be at or above the required quarterly usage of carbon. At your option, you may choose to evaluate required quarterly carbon usage on a municipal waste combustion unit basis for each individual municipal waste combustion unit at your plant. Calculate the required quarterly usage of carbon using equation 4 or 5 in §60.1460(f).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Your municipal waste combustion unit is exempt from limits on load level, temperature at the inlet of the particulate matter control device, and carbon feed rate during any of five situations: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During your annual tests for dioxins/furans.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During your annual mercury tests (for carbon feed rate requirements only).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During the 2 weeks preceding your annual tests for dioxins/furans.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During the 2 weeks preceding your annual mercury tests (for carbon feed rate requirements only).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Whenever the Administrator or delegated State authority permits you to do any of five activities: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Evaluate system performance.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 Test new technology or control technologies.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(iii) Perform diagnostic testing.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(iv) Perform other activities to improve the performance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(v) Perform other activities to advance the state of the art for emission controls for your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169" w:anchor="_top" w:history="1">
              <w:r>
                <w:rPr>
                  <w:rFonts w:ascii="Arial" w:eastAsia="Times New Roman" w:hAnsi="Arial" w:cs="Arial"/>
                  <w:noProof/>
                  <w:color w:val="0000FF"/>
                  <w:sz w:val="17"/>
                  <w:szCs w:val="17"/>
                </w:rPr>
                <w:drawing>
                  <wp:inline distT="0" distB="0" distL="0" distR="0">
                    <wp:extent cx="152400" cy="152400"/>
                    <wp:effectExtent l="0" t="0" r="0" b="0"/>
                    <wp:docPr id="51" name="Picture 5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48" w:name="40:7.0.1.1.1.90.157.42"/>
            <w:bookmarkEnd w:id="48"/>
            <w:r w:rsidRPr="000E6505">
              <w:rPr>
                <w:rFonts w:ascii="Arial" w:eastAsia="Times New Roman" w:hAnsi="Arial" w:cs="Arial"/>
                <w:b/>
                <w:bCs/>
                <w:sz w:val="20"/>
              </w:rPr>
              <w:t>§60.1205   What happens to the operating requirements during periods of startup, shutdown, and malfunction?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The operating requirements of this subpart apply at all times except during periods of municipal waste combustion unit startup, shutdown, or malfunction.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Each startup, shutdown, or malfunction must not last for longer than 3 hours. </w:t>
            </w:r>
          </w:p>
          <w:p w:rsidR="000E6505" w:rsidRPr="000E6505" w:rsidRDefault="000E6505" w:rsidP="000E6505">
            <w:pPr>
              <w:spacing w:before="200" w:after="100" w:afterAutospacing="1" w:line="240" w:lineRule="auto"/>
              <w:rPr>
                <w:rFonts w:ascii="Arial" w:eastAsia="Times New Roman" w:hAnsi="Arial" w:cs="Arial"/>
                <w:sz w:val="20"/>
              </w:rPr>
            </w:pPr>
            <w:hyperlink r:id="rId170" w:anchor="_top" w:history="1">
              <w:r>
                <w:rPr>
                  <w:rFonts w:ascii="Arial" w:eastAsia="Times New Roman" w:hAnsi="Arial" w:cs="Arial"/>
                  <w:noProof/>
                  <w:color w:val="0000FF"/>
                  <w:sz w:val="17"/>
                  <w:szCs w:val="17"/>
                </w:rPr>
                <w:drawing>
                  <wp:inline distT="0" distB="0" distL="0" distR="0">
                    <wp:extent cx="152400" cy="152400"/>
                    <wp:effectExtent l="0" t="0" r="0" b="0"/>
                    <wp:docPr id="52" name="Picture 5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49" w:name="40:7.0.1.1.1.90.158"/>
            <w:bookmarkEnd w:id="49"/>
            <w:r w:rsidRPr="000E6505">
              <w:rPr>
                <w:rFonts w:ascii="Arial" w:eastAsia="Times New Roman" w:hAnsi="Arial" w:cs="Arial"/>
                <w:b/>
                <w:bCs/>
                <w:smallCaps/>
                <w:sz w:val="27"/>
                <w:szCs w:val="27"/>
              </w:rPr>
              <w:t>Emission Limits</w:t>
            </w:r>
          </w:p>
          <w:p w:rsidR="000E6505" w:rsidRPr="000E6505" w:rsidRDefault="000E6505" w:rsidP="000E6505">
            <w:pPr>
              <w:spacing w:before="200" w:after="100" w:afterAutospacing="1" w:line="240" w:lineRule="auto"/>
              <w:rPr>
                <w:rFonts w:ascii="Arial" w:eastAsia="Times New Roman" w:hAnsi="Arial" w:cs="Arial"/>
                <w:sz w:val="20"/>
              </w:rPr>
            </w:pPr>
            <w:hyperlink r:id="rId171" w:anchor="_top" w:history="1">
              <w:r>
                <w:rPr>
                  <w:rFonts w:ascii="Arial" w:eastAsia="Times New Roman" w:hAnsi="Arial" w:cs="Arial"/>
                  <w:noProof/>
                  <w:color w:val="0000FF"/>
                  <w:sz w:val="17"/>
                  <w:szCs w:val="17"/>
                </w:rPr>
                <w:drawing>
                  <wp:inline distT="0" distB="0" distL="0" distR="0">
                    <wp:extent cx="152400" cy="152400"/>
                    <wp:effectExtent l="0" t="0" r="0" b="0"/>
                    <wp:docPr id="53" name="Picture 5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0" w:name="40:7.0.1.1.1.90.158.43"/>
            <w:bookmarkEnd w:id="50"/>
            <w:r w:rsidRPr="000E6505">
              <w:rPr>
                <w:rFonts w:ascii="Arial" w:eastAsia="Times New Roman" w:hAnsi="Arial" w:cs="Arial"/>
                <w:b/>
                <w:bCs/>
                <w:sz w:val="20"/>
              </w:rPr>
              <w:lastRenderedPageBreak/>
              <w:t>§60.1210   What pollutants are regulated by this subpart?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Eleven pollutants, in four groupings, are regulated: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t>
            </w:r>
            <w:r w:rsidRPr="000E6505">
              <w:rPr>
                <w:rFonts w:ascii="Arial" w:eastAsia="Times New Roman" w:hAnsi="Arial" w:cs="Arial"/>
                <w:i/>
                <w:iCs/>
                <w:sz w:val="20"/>
              </w:rPr>
              <w:t>Organics.</w:t>
            </w:r>
            <w:r w:rsidRPr="000E6505">
              <w:rPr>
                <w:rFonts w:ascii="Arial" w:eastAsia="Times New Roman" w:hAnsi="Arial" w:cs="Arial"/>
                <w:sz w:val="20"/>
              </w:rPr>
              <w:t xml:space="preserve"> Dioxins/furans.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w:t>
            </w:r>
            <w:r w:rsidRPr="000E6505">
              <w:rPr>
                <w:rFonts w:ascii="Arial" w:eastAsia="Times New Roman" w:hAnsi="Arial" w:cs="Arial"/>
                <w:i/>
                <w:iCs/>
                <w:sz w:val="20"/>
              </w:rPr>
              <w:t>Metals.</w:t>
            </w:r>
            <w:r w:rsidRPr="000E6505">
              <w:rPr>
                <w:rFonts w:ascii="Arial" w:eastAsia="Times New Roman" w:hAnsi="Arial" w:cs="Arial"/>
                <w:sz w:val="20"/>
              </w:rPr>
              <w:t xml:space="preserve"> (1) Cadmium.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Lead.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Mercury.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Opacity.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Particulate matter.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w:t>
            </w:r>
            <w:r w:rsidRPr="000E6505">
              <w:rPr>
                <w:rFonts w:ascii="Arial" w:eastAsia="Times New Roman" w:hAnsi="Arial" w:cs="Arial"/>
                <w:i/>
                <w:iCs/>
                <w:sz w:val="20"/>
              </w:rPr>
              <w:t>Acid gases.</w:t>
            </w:r>
            <w:r w:rsidRPr="000E6505">
              <w:rPr>
                <w:rFonts w:ascii="Arial" w:eastAsia="Times New Roman" w:hAnsi="Arial" w:cs="Arial"/>
                <w:sz w:val="20"/>
              </w:rPr>
              <w:t xml:space="preserve"> (1) Hydrogen chloride.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Nitrogen oxides.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Sulfur dioxide.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w:t>
            </w:r>
            <w:r w:rsidRPr="000E6505">
              <w:rPr>
                <w:rFonts w:ascii="Arial" w:eastAsia="Times New Roman" w:hAnsi="Arial" w:cs="Arial"/>
                <w:i/>
                <w:iCs/>
                <w:sz w:val="20"/>
              </w:rPr>
              <w:t>Other.</w:t>
            </w:r>
            <w:r w:rsidRPr="000E6505">
              <w:rPr>
                <w:rFonts w:ascii="Arial" w:eastAsia="Times New Roman" w:hAnsi="Arial" w:cs="Arial"/>
                <w:sz w:val="20"/>
              </w:rPr>
              <w:t xml:space="preserve"> (1) Carbon monoxide.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Fugitive ash. </w:t>
            </w:r>
          </w:p>
          <w:p w:rsidR="000E6505" w:rsidRPr="000E6505" w:rsidRDefault="000E6505" w:rsidP="000E6505">
            <w:pPr>
              <w:spacing w:before="200" w:after="100" w:afterAutospacing="1" w:line="240" w:lineRule="auto"/>
              <w:rPr>
                <w:rFonts w:ascii="Arial" w:eastAsia="Times New Roman" w:hAnsi="Arial" w:cs="Arial"/>
                <w:sz w:val="20"/>
              </w:rPr>
            </w:pPr>
            <w:hyperlink r:id="rId172" w:anchor="_top" w:history="1">
              <w:r>
                <w:rPr>
                  <w:rFonts w:ascii="Arial" w:eastAsia="Times New Roman" w:hAnsi="Arial" w:cs="Arial"/>
                  <w:noProof/>
                  <w:color w:val="0000FF"/>
                  <w:sz w:val="17"/>
                  <w:szCs w:val="17"/>
                </w:rPr>
                <w:drawing>
                  <wp:inline distT="0" distB="0" distL="0" distR="0">
                    <wp:extent cx="152400" cy="152400"/>
                    <wp:effectExtent l="0" t="0" r="0" b="0"/>
                    <wp:docPr id="54" name="Picture 5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1" w:name="40:7.0.1.1.1.90.158.44"/>
            <w:bookmarkEnd w:id="51"/>
            <w:r w:rsidRPr="000E6505">
              <w:rPr>
                <w:rFonts w:ascii="Arial" w:eastAsia="Times New Roman" w:hAnsi="Arial" w:cs="Arial"/>
                <w:b/>
                <w:bCs/>
                <w:sz w:val="20"/>
              </w:rPr>
              <w:t>§60.1215   What emission limits must I meet? By when?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meet the emission limits specified in tables 1 and 2 of this subpart. You must meet the limits 60 days after your municipal waste combustion unit reaches the maximum load level but no later than 180 days after its initial startup. </w:t>
            </w:r>
          </w:p>
          <w:p w:rsidR="000E6505" w:rsidRPr="000E6505" w:rsidRDefault="000E6505" w:rsidP="000E6505">
            <w:pPr>
              <w:spacing w:before="200" w:after="100" w:afterAutospacing="1" w:line="240" w:lineRule="auto"/>
              <w:rPr>
                <w:rFonts w:ascii="Arial" w:eastAsia="Times New Roman" w:hAnsi="Arial" w:cs="Arial"/>
                <w:sz w:val="20"/>
              </w:rPr>
            </w:pPr>
            <w:hyperlink r:id="rId173" w:anchor="_top" w:history="1">
              <w:r>
                <w:rPr>
                  <w:rFonts w:ascii="Arial" w:eastAsia="Times New Roman" w:hAnsi="Arial" w:cs="Arial"/>
                  <w:noProof/>
                  <w:color w:val="0000FF"/>
                  <w:sz w:val="17"/>
                  <w:szCs w:val="17"/>
                </w:rPr>
                <w:drawing>
                  <wp:inline distT="0" distB="0" distL="0" distR="0">
                    <wp:extent cx="152400" cy="152400"/>
                    <wp:effectExtent l="0" t="0" r="0" b="0"/>
                    <wp:docPr id="55" name="Picture 5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2" w:name="40:7.0.1.1.1.90.158.45"/>
            <w:bookmarkEnd w:id="52"/>
            <w:r w:rsidRPr="000E6505">
              <w:rPr>
                <w:rFonts w:ascii="Arial" w:eastAsia="Times New Roman" w:hAnsi="Arial" w:cs="Arial"/>
                <w:b/>
                <w:bCs/>
                <w:sz w:val="20"/>
              </w:rPr>
              <w:t>§60.1220   What happens to the emission limits during periods of startup, shutdown, and malfunction?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The emission limits of this subpart apply at all times except during periods of municipal waste combustion unit startup, shutdown, or malfunction.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Each startup, shutdown, or malfunction must not last for longer than 3 hours.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A maximum of 3 hours of test data can be dismissed from compliance calculations during periods of startup, shutdown, or malfunction.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During startup, shutdown, or malfunction periods longer than 3 hours, emissions data cannot be discarded from compliance calculations and all provisions under §60.11(d) apply. </w:t>
            </w:r>
          </w:p>
          <w:p w:rsidR="000E6505" w:rsidRPr="000E6505" w:rsidRDefault="000E6505" w:rsidP="000E6505">
            <w:pPr>
              <w:spacing w:before="200" w:after="100" w:afterAutospacing="1" w:line="240" w:lineRule="auto"/>
              <w:rPr>
                <w:rFonts w:ascii="Arial" w:eastAsia="Times New Roman" w:hAnsi="Arial" w:cs="Arial"/>
                <w:sz w:val="20"/>
              </w:rPr>
            </w:pPr>
            <w:hyperlink r:id="rId174" w:anchor="_top" w:history="1">
              <w:r>
                <w:rPr>
                  <w:rFonts w:ascii="Arial" w:eastAsia="Times New Roman" w:hAnsi="Arial" w:cs="Arial"/>
                  <w:noProof/>
                  <w:color w:val="0000FF"/>
                  <w:sz w:val="17"/>
                  <w:szCs w:val="17"/>
                </w:rPr>
                <w:drawing>
                  <wp:inline distT="0" distB="0" distL="0" distR="0">
                    <wp:extent cx="152400" cy="152400"/>
                    <wp:effectExtent l="0" t="0" r="0" b="0"/>
                    <wp:docPr id="56" name="Picture 5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53" w:name="40:7.0.1.1.1.90.159"/>
            <w:bookmarkEnd w:id="53"/>
            <w:r w:rsidRPr="000E6505">
              <w:rPr>
                <w:rFonts w:ascii="Arial" w:eastAsia="Times New Roman" w:hAnsi="Arial" w:cs="Arial"/>
                <w:b/>
                <w:bCs/>
                <w:smallCaps/>
                <w:sz w:val="27"/>
                <w:szCs w:val="27"/>
              </w:rPr>
              <w:t>Continuous Emission Monitoring</w:t>
            </w:r>
          </w:p>
          <w:p w:rsidR="000E6505" w:rsidRPr="000E6505" w:rsidRDefault="000E6505" w:rsidP="000E6505">
            <w:pPr>
              <w:spacing w:before="200" w:after="100" w:afterAutospacing="1" w:line="240" w:lineRule="auto"/>
              <w:rPr>
                <w:rFonts w:ascii="Arial" w:eastAsia="Times New Roman" w:hAnsi="Arial" w:cs="Arial"/>
                <w:sz w:val="20"/>
              </w:rPr>
            </w:pPr>
            <w:hyperlink r:id="rId175" w:anchor="_top" w:history="1">
              <w:r>
                <w:rPr>
                  <w:rFonts w:ascii="Arial" w:eastAsia="Times New Roman" w:hAnsi="Arial" w:cs="Arial"/>
                  <w:noProof/>
                  <w:color w:val="0000FF"/>
                  <w:sz w:val="17"/>
                  <w:szCs w:val="17"/>
                </w:rPr>
                <w:drawing>
                  <wp:inline distT="0" distB="0" distL="0" distR="0">
                    <wp:extent cx="152400" cy="152400"/>
                    <wp:effectExtent l="0" t="0" r="0" b="0"/>
                    <wp:docPr id="57" name="Picture 5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4" w:name="40:7.0.1.1.1.90.159.46"/>
            <w:bookmarkEnd w:id="54"/>
            <w:r w:rsidRPr="000E6505">
              <w:rPr>
                <w:rFonts w:ascii="Arial" w:eastAsia="Times New Roman" w:hAnsi="Arial" w:cs="Arial"/>
                <w:b/>
                <w:bCs/>
                <w:sz w:val="20"/>
              </w:rPr>
              <w:t>§60.1225   What types of continuous emission monitoring must I perform?</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To continuously monitor emissions, you must perform four tasks: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Install continuous emission monitoring systems for certain gaseous pollutants.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Make sure your continuous emission monitoring systems are operating correctly.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w:t>
            </w:r>
            <w:proofErr w:type="gramStart"/>
            <w:r w:rsidRPr="000E6505">
              <w:rPr>
                <w:rFonts w:ascii="Arial" w:eastAsia="Times New Roman" w:hAnsi="Arial" w:cs="Arial"/>
                <w:sz w:val="20"/>
              </w:rPr>
              <w:t>c</w:t>
            </w:r>
            <w:proofErr w:type="gramEnd"/>
            <w:r w:rsidRPr="000E6505">
              <w:rPr>
                <w:rFonts w:ascii="Arial" w:eastAsia="Times New Roman" w:hAnsi="Arial" w:cs="Arial"/>
                <w:sz w:val="20"/>
              </w:rPr>
              <w:t xml:space="preserve">) Make sure you obtain the minimum amount of monitoring data.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Install a continuous opacity monitoring system. </w:t>
            </w:r>
          </w:p>
          <w:p w:rsidR="000E6505" w:rsidRPr="000E6505" w:rsidRDefault="000E6505" w:rsidP="000E6505">
            <w:pPr>
              <w:spacing w:before="200" w:after="100" w:afterAutospacing="1" w:line="240" w:lineRule="auto"/>
              <w:rPr>
                <w:rFonts w:ascii="Arial" w:eastAsia="Times New Roman" w:hAnsi="Arial" w:cs="Arial"/>
                <w:sz w:val="20"/>
              </w:rPr>
            </w:pPr>
            <w:hyperlink r:id="rId176" w:anchor="_top" w:history="1">
              <w:r>
                <w:rPr>
                  <w:rFonts w:ascii="Arial" w:eastAsia="Times New Roman" w:hAnsi="Arial" w:cs="Arial"/>
                  <w:noProof/>
                  <w:color w:val="0000FF"/>
                  <w:sz w:val="17"/>
                  <w:szCs w:val="17"/>
                </w:rPr>
                <w:drawing>
                  <wp:inline distT="0" distB="0" distL="0" distR="0">
                    <wp:extent cx="152400" cy="152400"/>
                    <wp:effectExtent l="0" t="0" r="0" b="0"/>
                    <wp:docPr id="58" name="Picture 5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5" w:name="40:7.0.1.1.1.90.159.47"/>
            <w:bookmarkEnd w:id="55"/>
            <w:r w:rsidRPr="000E6505">
              <w:rPr>
                <w:rFonts w:ascii="Arial" w:eastAsia="Times New Roman" w:hAnsi="Arial" w:cs="Arial"/>
                <w:b/>
                <w:bCs/>
                <w:sz w:val="20"/>
              </w:rPr>
              <w:t>§60.1230   What continuous emission monitoring systems must I install for gaseous pollutants?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You must install, calibrate, maintain, and operate continuous emission monitoring systems for oxygen (or carbon dioxide), sulfur dioxide, and carbon monoxide. If you operate a Class I municipal waste combustion unit, you must also install, calibrate, maintain, and operate a continuous emission monitoring system for nitrogen oxides. Install the continuous emission monitoring systems for sulfur dioxide, nitrogen oxides, and oxygen (or carbon dioxide) at the outlet of the air pollution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 must install, evaluate, and operate each continuous emission monitoring system according to the “Monitoring Requirements” in §60.13.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You must monitor the oxygen (or carbon dioxide) concentration at each location where you monitor sulfur dioxide and carbon monoxide. Additionally, if you operate a Class I municipal waste combustion unit, you must also monitor the oxygen (or carbon dioxide) concentration at the location where you monitor nitrogen oxides.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You may choose to monitor carbon dioxide instead of oxygen as a diluent gas. If you choose to monitor carbon dioxide, then an oxygen monitor is not required, and you must follow the requirements in §60.1255.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If you choose to demonstrate compliance by monitoring the percent reduction of sulfur dioxide, you must also install continuous emission monitoring systems for sulfur dioxide and oxygen (or carbon dioxide) at the inlet of the air pollution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If you prefer to use an alternative sulfur dioxide monitoring method, such as parametric monitoring, or cannot monitor emissions at the inlet of the air pollution control device to determine percent reduction, you can apply to the Administrator for approval to use an alternative monitoring method under §60.13(i). </w:t>
            </w:r>
          </w:p>
          <w:p w:rsidR="000E6505" w:rsidRPr="000E6505" w:rsidRDefault="000E6505" w:rsidP="000E6505">
            <w:pPr>
              <w:spacing w:before="200" w:after="100" w:afterAutospacing="1" w:line="240" w:lineRule="auto"/>
              <w:rPr>
                <w:rFonts w:ascii="Arial" w:eastAsia="Times New Roman" w:hAnsi="Arial" w:cs="Arial"/>
                <w:sz w:val="20"/>
              </w:rPr>
            </w:pPr>
            <w:hyperlink r:id="rId177" w:anchor="_top" w:history="1">
              <w:r>
                <w:rPr>
                  <w:rFonts w:ascii="Arial" w:eastAsia="Times New Roman" w:hAnsi="Arial" w:cs="Arial"/>
                  <w:noProof/>
                  <w:color w:val="0000FF"/>
                  <w:sz w:val="17"/>
                  <w:szCs w:val="17"/>
                </w:rPr>
                <w:drawing>
                  <wp:inline distT="0" distB="0" distL="0" distR="0">
                    <wp:extent cx="152400" cy="152400"/>
                    <wp:effectExtent l="0" t="0" r="0" b="0"/>
                    <wp:docPr id="59" name="Picture 5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6" w:name="40:7.0.1.1.1.90.159.48"/>
            <w:bookmarkEnd w:id="56"/>
            <w:r w:rsidRPr="000E6505">
              <w:rPr>
                <w:rFonts w:ascii="Arial" w:eastAsia="Times New Roman" w:hAnsi="Arial" w:cs="Arial"/>
                <w:b/>
                <w:bCs/>
                <w:sz w:val="20"/>
              </w:rPr>
              <w:lastRenderedPageBreak/>
              <w:t>§60.1235   How are the data from the continuous emission monitoring systems used?</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use data from the continuous emission monitoring systems for sulfur dioxide, nitrogen oxides, and carbon monoxide to demonstrate continuous compliance with the emission limits specified in tables 1 and 2 of this subpart. To demonstrate compliance for dioxins/furans, cadmium, lead, mercury, particulate matter, opacity, hydrogen chloride, and fugitive ash, see §60.1290. </w:t>
            </w:r>
          </w:p>
          <w:p w:rsidR="000E6505" w:rsidRPr="000E6505" w:rsidRDefault="000E6505" w:rsidP="000E6505">
            <w:pPr>
              <w:spacing w:before="200" w:after="100" w:afterAutospacing="1" w:line="240" w:lineRule="auto"/>
              <w:rPr>
                <w:rFonts w:ascii="Arial" w:eastAsia="Times New Roman" w:hAnsi="Arial" w:cs="Arial"/>
                <w:sz w:val="20"/>
              </w:rPr>
            </w:pPr>
            <w:hyperlink r:id="rId178" w:anchor="_top" w:history="1">
              <w:r>
                <w:rPr>
                  <w:rFonts w:ascii="Arial" w:eastAsia="Times New Roman" w:hAnsi="Arial" w:cs="Arial"/>
                  <w:noProof/>
                  <w:color w:val="0000FF"/>
                  <w:sz w:val="17"/>
                  <w:szCs w:val="17"/>
                </w:rPr>
                <w:drawing>
                  <wp:inline distT="0" distB="0" distL="0" distR="0">
                    <wp:extent cx="152400" cy="152400"/>
                    <wp:effectExtent l="0" t="0" r="0" b="0"/>
                    <wp:docPr id="60" name="Picture 6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7" w:name="40:7.0.1.1.1.90.159.49"/>
            <w:bookmarkEnd w:id="57"/>
            <w:r w:rsidRPr="000E6505">
              <w:rPr>
                <w:rFonts w:ascii="Arial" w:eastAsia="Times New Roman" w:hAnsi="Arial" w:cs="Arial"/>
                <w:b/>
                <w:bCs/>
                <w:sz w:val="20"/>
              </w:rPr>
              <w:t>§60.1240   How do I make sure my continuous emission monitoring systems are operating correctly?</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Conduct initial, daily, quarterly, and annual evaluations of your continuous emission monitoring systems that measure oxygen (or carbon dioxide), sulfur dioxide, nitrogen oxides (Class I municipal waste combustion units only), and carbon monoxide.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Complete your initial evaluation of the continuous emission monitoring systems within 60 days after your municipal waste combustion unit reaches the maximum load level at which it will operate, but no later than 180 days after its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For initial and annual evaluations, collect data concurrently (or within 30 to 60 minutes) using your oxygen (or carbon dioxide) continuous emission monitoring system, your sulfur dioxide, nitrogen oxides, or carbon monoxide continuous emission monitoring systems, as appropriate, and the appropriate test methods specified in table 3 of this subpart. Collect the data during each initial and annual evaluation of your continuous emission monitoring systems following the applicable performance specifications in appendix B of this part. </w:t>
            </w:r>
            <w:proofErr w:type="gramStart"/>
            <w:r w:rsidRPr="000E6505">
              <w:rPr>
                <w:rFonts w:ascii="Arial" w:eastAsia="Times New Roman" w:hAnsi="Arial" w:cs="Arial"/>
                <w:sz w:val="20"/>
              </w:rPr>
              <w:t>table</w:t>
            </w:r>
            <w:proofErr w:type="gramEnd"/>
            <w:r w:rsidRPr="000E6505">
              <w:rPr>
                <w:rFonts w:ascii="Arial" w:eastAsia="Times New Roman" w:hAnsi="Arial" w:cs="Arial"/>
                <w:sz w:val="20"/>
              </w:rPr>
              <w:t xml:space="preserve"> 4 of this subpart shows the performance specifications that apply to each continuous emission monitoring system.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Follow the quality assurance procedures in Procedure 1 of appendix F of this part for each continuous emission monitoring system. The procedures include daily calibration drift and quarterly accuracy determinations. </w:t>
            </w:r>
          </w:p>
          <w:p w:rsidR="000E6505" w:rsidRPr="000E6505" w:rsidRDefault="000E6505" w:rsidP="000E6505">
            <w:pPr>
              <w:spacing w:before="200" w:after="100" w:afterAutospacing="1" w:line="240" w:lineRule="auto"/>
              <w:rPr>
                <w:rFonts w:ascii="Arial" w:eastAsia="Times New Roman" w:hAnsi="Arial" w:cs="Arial"/>
                <w:sz w:val="20"/>
              </w:rPr>
            </w:pPr>
            <w:hyperlink r:id="rId179" w:anchor="_top" w:history="1">
              <w:r>
                <w:rPr>
                  <w:rFonts w:ascii="Arial" w:eastAsia="Times New Roman" w:hAnsi="Arial" w:cs="Arial"/>
                  <w:noProof/>
                  <w:color w:val="0000FF"/>
                  <w:sz w:val="17"/>
                  <w:szCs w:val="17"/>
                </w:rPr>
                <w:drawing>
                  <wp:inline distT="0" distB="0" distL="0" distR="0">
                    <wp:extent cx="152400" cy="152400"/>
                    <wp:effectExtent l="0" t="0" r="0" b="0"/>
                    <wp:docPr id="61" name="Picture 6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8" w:name="40:7.0.1.1.1.90.159.50"/>
            <w:bookmarkEnd w:id="58"/>
            <w:r w:rsidRPr="000E6505">
              <w:rPr>
                <w:rFonts w:ascii="Arial" w:eastAsia="Times New Roman" w:hAnsi="Arial" w:cs="Arial"/>
                <w:b/>
                <w:bCs/>
                <w:sz w:val="20"/>
              </w:rPr>
              <w:t>§60.1245   Am I exempt from any appendix B or appendix F requirements to evaluate continuous emission monitoring systems?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Yes, the accuracy tests for your sulfur dioxide continuous emission monitoring system require you to also evaluate your oxygen (or carbon dioxide) continuous emission monitoring system. Therefore, your oxygen (or carbon dioxide) continuous emission monitoring system is exempt from two requirements: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Section 2.3 of Performance Specification 3 in appendix B of this part (relative accuracy requirement).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Section 5.1.1 of appendix F of this part (relative accuracy test audit). </w:t>
            </w:r>
          </w:p>
          <w:p w:rsidR="000E6505" w:rsidRPr="000E6505" w:rsidRDefault="000E6505" w:rsidP="000E6505">
            <w:pPr>
              <w:spacing w:before="200" w:after="100" w:afterAutospacing="1" w:line="240" w:lineRule="auto"/>
              <w:rPr>
                <w:rFonts w:ascii="Arial" w:eastAsia="Times New Roman" w:hAnsi="Arial" w:cs="Arial"/>
                <w:sz w:val="20"/>
              </w:rPr>
            </w:pPr>
            <w:hyperlink r:id="rId180" w:anchor="_top" w:history="1">
              <w:r>
                <w:rPr>
                  <w:rFonts w:ascii="Arial" w:eastAsia="Times New Roman" w:hAnsi="Arial" w:cs="Arial"/>
                  <w:noProof/>
                  <w:color w:val="0000FF"/>
                  <w:sz w:val="17"/>
                  <w:szCs w:val="17"/>
                </w:rPr>
                <w:drawing>
                  <wp:inline distT="0" distB="0" distL="0" distR="0">
                    <wp:extent cx="152400" cy="152400"/>
                    <wp:effectExtent l="0" t="0" r="0" b="0"/>
                    <wp:docPr id="62" name="Picture 6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59" w:name="40:7.0.1.1.1.90.159.51"/>
            <w:bookmarkEnd w:id="59"/>
            <w:r w:rsidRPr="000E6505">
              <w:rPr>
                <w:rFonts w:ascii="Arial" w:eastAsia="Times New Roman" w:hAnsi="Arial" w:cs="Arial"/>
                <w:b/>
                <w:bCs/>
                <w:sz w:val="20"/>
              </w:rPr>
              <w:t>§60.1250   What is my schedule for evaluating continuous emission monitoring systems?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Conduct annual evaluations of your continuous emission monitoring systems no more than 13 </w:t>
            </w:r>
            <w:r w:rsidRPr="000E6505">
              <w:rPr>
                <w:rFonts w:ascii="Arial" w:eastAsia="Times New Roman" w:hAnsi="Arial" w:cs="Arial"/>
                <w:sz w:val="20"/>
              </w:rPr>
              <w:lastRenderedPageBreak/>
              <w:t xml:space="preserve">months after the previous evaluation was conducted.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Evaluate your continuous emission monitoring systems daily and quarterly as specified in appendix F of this part. </w:t>
            </w:r>
          </w:p>
          <w:p w:rsidR="000E6505" w:rsidRPr="000E6505" w:rsidRDefault="000E6505" w:rsidP="000E6505">
            <w:pPr>
              <w:spacing w:before="200" w:after="100" w:afterAutospacing="1" w:line="240" w:lineRule="auto"/>
              <w:rPr>
                <w:rFonts w:ascii="Arial" w:eastAsia="Times New Roman" w:hAnsi="Arial" w:cs="Arial"/>
                <w:sz w:val="20"/>
              </w:rPr>
            </w:pPr>
            <w:hyperlink r:id="rId181" w:anchor="_top" w:history="1">
              <w:r>
                <w:rPr>
                  <w:rFonts w:ascii="Arial" w:eastAsia="Times New Roman" w:hAnsi="Arial" w:cs="Arial"/>
                  <w:noProof/>
                  <w:color w:val="0000FF"/>
                  <w:sz w:val="17"/>
                  <w:szCs w:val="17"/>
                </w:rPr>
                <w:drawing>
                  <wp:inline distT="0" distB="0" distL="0" distR="0">
                    <wp:extent cx="152400" cy="152400"/>
                    <wp:effectExtent l="0" t="0" r="0" b="0"/>
                    <wp:docPr id="63" name="Picture 6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0" w:name="40:7.0.1.1.1.90.159.52"/>
            <w:bookmarkEnd w:id="60"/>
            <w:r w:rsidRPr="000E6505">
              <w:rPr>
                <w:rFonts w:ascii="Arial" w:eastAsia="Times New Roman" w:hAnsi="Arial" w:cs="Arial"/>
                <w:b/>
                <w:bCs/>
                <w:sz w:val="20"/>
              </w:rPr>
              <w:t>§60.1255   What must I do if I choose to monitor carbon dioxide instead of oxygen as a diluent gas?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establish the relationship between oxygen and carbon dioxide during the initial evaluation of your continuous emission monitoring systems. You may reestablish the relationship during annual evaluations. To establish the relationship use three procedures: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Use EPA Reference Method 3A or 3B in appendix A of this part to determine oxygen concentration at the location of your carbon dioxide monitor.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Conduct at least three test runs for oxygen. Make sure each test run represents a 1-hour average and that sampling continues for at least 30 minutes in each hour.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Use the fuel-factor equation in EPA Reference Method 3B in appendix A of this part to determine the relationship between oxygen and carbon dioxide. </w:t>
            </w:r>
          </w:p>
          <w:p w:rsidR="000E6505" w:rsidRPr="000E6505" w:rsidRDefault="000E6505" w:rsidP="000E6505">
            <w:pPr>
              <w:spacing w:before="200" w:after="100" w:afterAutospacing="1" w:line="240" w:lineRule="auto"/>
              <w:rPr>
                <w:rFonts w:ascii="Arial" w:eastAsia="Times New Roman" w:hAnsi="Arial" w:cs="Arial"/>
                <w:sz w:val="20"/>
              </w:rPr>
            </w:pPr>
            <w:hyperlink r:id="rId182" w:anchor="_top" w:history="1">
              <w:r>
                <w:rPr>
                  <w:rFonts w:ascii="Arial" w:eastAsia="Times New Roman" w:hAnsi="Arial" w:cs="Arial"/>
                  <w:noProof/>
                  <w:color w:val="0000FF"/>
                  <w:sz w:val="17"/>
                  <w:szCs w:val="17"/>
                </w:rPr>
                <w:drawing>
                  <wp:inline distT="0" distB="0" distL="0" distR="0">
                    <wp:extent cx="152400" cy="152400"/>
                    <wp:effectExtent l="0" t="0" r="0" b="0"/>
                    <wp:docPr id="64" name="Picture 6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1" w:name="40:7.0.1.1.1.90.159.53"/>
            <w:bookmarkEnd w:id="61"/>
            <w:r w:rsidRPr="000E6505">
              <w:rPr>
                <w:rFonts w:ascii="Arial" w:eastAsia="Times New Roman" w:hAnsi="Arial" w:cs="Arial"/>
                <w:b/>
                <w:bCs/>
                <w:sz w:val="20"/>
              </w:rPr>
              <w:t>§60.1260   What is the minimum amount of monitoring data I must collect with my continuous emission monitoring systems and is the data collection requirement enforceable?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Where continuous emission monitoring systems are required, obtain 1-hour arithmetic averages. Make sure the averages for sulfur dioxide, nitrogen oxides, and carbon monoxide are in parts per million by dry volume at 7 percent oxygen (or the equivalent carbon dioxide level). Use the 1-hour averages of oxygen (or carbon dioxide) data from your continuous emission monitoring system to determine the actual oxygen (or carbon dioxide) level and to calculate emissions at 7 percent oxygen (or the equivalent carbon dioxide level).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Obtain at least two data points per hour in order to calculate a valid 1-hour arithmetic average. Section 60.13(e)(2) requires your continuous emission monitoring systems to complete at least one cycle of operation (sampling, analyzing, and data recording) for each 15-minute period.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Obtain valid 1-hour averages for 75 percent of the operating hours per day for 90 percent of the operating days per calendar quarter. An operating day is any day the unit combusts any municipal solid waste or refuse-derived fuel.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If you do not obtain the minimum data required in paragraphs (a) through (c) of this section, you are in violation of the data collection requirement regardless of the emission level monitored, and you must notify the Administrator according to §60.1410(e).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If you do not obtain the minimum data required in paragraphs (a) through (c) of this section, you must still use all valid data from the continuous emission monitoring systems in calculating emission concentrations and percent reductions in accordance with §60.1265. </w:t>
            </w:r>
          </w:p>
          <w:p w:rsidR="000E6505" w:rsidRPr="000E6505" w:rsidRDefault="000E6505" w:rsidP="000E6505">
            <w:pPr>
              <w:spacing w:before="200" w:after="100" w:afterAutospacing="1" w:line="240" w:lineRule="auto"/>
              <w:rPr>
                <w:rFonts w:ascii="Arial" w:eastAsia="Times New Roman" w:hAnsi="Arial" w:cs="Arial"/>
                <w:sz w:val="20"/>
              </w:rPr>
            </w:pPr>
            <w:hyperlink r:id="rId183" w:anchor="_top" w:history="1">
              <w:r>
                <w:rPr>
                  <w:rFonts w:ascii="Arial" w:eastAsia="Times New Roman" w:hAnsi="Arial" w:cs="Arial"/>
                  <w:noProof/>
                  <w:color w:val="0000FF"/>
                  <w:sz w:val="17"/>
                  <w:szCs w:val="17"/>
                </w:rPr>
                <w:drawing>
                  <wp:inline distT="0" distB="0" distL="0" distR="0">
                    <wp:extent cx="152400" cy="152400"/>
                    <wp:effectExtent l="0" t="0" r="0" b="0"/>
                    <wp:docPr id="65" name="Picture 6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2" w:name="40:7.0.1.1.1.90.159.54"/>
            <w:bookmarkEnd w:id="62"/>
            <w:r w:rsidRPr="000E6505">
              <w:rPr>
                <w:rFonts w:ascii="Arial" w:eastAsia="Times New Roman" w:hAnsi="Arial" w:cs="Arial"/>
                <w:b/>
                <w:bCs/>
                <w:sz w:val="20"/>
              </w:rPr>
              <w:t>§60.1265   How do I convert my 1-hour arithmetic averages into the appropriate averaging times and units?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Use the equation in §60.1460(a) to calculate emissions at 7 percent oxygen.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Use EPA Reference Method 19 in appendix A of this part, section 4.3, to calculate the daily geometric average concentrations of sulfur dioxide emissions. If you are monitoring the percent reduction of sulfur dioxide, use EPA Reference Method 19 in appendix A of this part, section 5.4, to determine the daily geometric average percent reduction of potential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If you operate a Class I municipal waste combustion unit, use EPA Reference Method 19 in appendix A of this part, section 4.1, to calculate the daily arithmetic average for concentrations of nitrogen oxides.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Use EPA Reference Method 19 in appendix A of this part, section 4.1, to calculate the 4-hour or 24-hour daily block averages (as applicable) for concentrations of carbon monoxide. </w:t>
            </w:r>
          </w:p>
          <w:p w:rsidR="000E6505" w:rsidRPr="000E6505" w:rsidRDefault="000E6505" w:rsidP="000E6505">
            <w:pPr>
              <w:spacing w:before="200" w:after="100" w:afterAutospacing="1" w:line="240" w:lineRule="auto"/>
              <w:rPr>
                <w:rFonts w:ascii="Arial" w:eastAsia="Times New Roman" w:hAnsi="Arial" w:cs="Arial"/>
                <w:sz w:val="20"/>
              </w:rPr>
            </w:pPr>
            <w:hyperlink r:id="rId184" w:anchor="_top" w:history="1">
              <w:r>
                <w:rPr>
                  <w:rFonts w:ascii="Arial" w:eastAsia="Times New Roman" w:hAnsi="Arial" w:cs="Arial"/>
                  <w:noProof/>
                  <w:color w:val="0000FF"/>
                  <w:sz w:val="17"/>
                  <w:szCs w:val="17"/>
                </w:rPr>
                <w:drawing>
                  <wp:inline distT="0" distB="0" distL="0" distR="0">
                    <wp:extent cx="152400" cy="152400"/>
                    <wp:effectExtent l="0" t="0" r="0" b="0"/>
                    <wp:docPr id="66" name="Picture 6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3" w:name="40:7.0.1.1.1.90.159.55"/>
            <w:bookmarkEnd w:id="63"/>
            <w:r w:rsidRPr="000E6505">
              <w:rPr>
                <w:rFonts w:ascii="Arial" w:eastAsia="Times New Roman" w:hAnsi="Arial" w:cs="Arial"/>
                <w:b/>
                <w:bCs/>
                <w:sz w:val="20"/>
              </w:rPr>
              <w:t>§60.1270   What is required for my continuous opacity monitoring system and how are the data used?</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Install, calibrate, maintain, and operate a continuous opacity monitoring system.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Install, evaluate, and operate each continuous opacity monitoring system according to §60.13.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Complete an initial evaluation of your continuous opacity monitoring system according to Performance Specification 1 in appendix B of this part. Complete the evaluation within 60 days after your municipal waste combustion unit reaches the maximum load level at which it will operate, but no more than 180 days after its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Complete each annual evaluation of your continuous opacity monitoring system no more than 13 months after the previous evaluation.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Use tests conducted according to EPA Reference Method 9 in appendix A of this part, as specified in §60.1300, to determine compliance with the opacity limit in table 1 of this subpart. The data obtained from your continuous opacity monitoring system are not used to determine compliance with the opacity limit. </w:t>
            </w:r>
          </w:p>
          <w:p w:rsidR="000E6505" w:rsidRPr="000E6505" w:rsidRDefault="000E6505" w:rsidP="000E6505">
            <w:pPr>
              <w:spacing w:before="200" w:after="100" w:afterAutospacing="1" w:line="240" w:lineRule="auto"/>
              <w:rPr>
                <w:rFonts w:ascii="Arial" w:eastAsia="Times New Roman" w:hAnsi="Arial" w:cs="Arial"/>
                <w:sz w:val="20"/>
              </w:rPr>
            </w:pPr>
            <w:hyperlink r:id="rId185" w:anchor="_top" w:history="1">
              <w:r>
                <w:rPr>
                  <w:rFonts w:ascii="Arial" w:eastAsia="Times New Roman" w:hAnsi="Arial" w:cs="Arial"/>
                  <w:noProof/>
                  <w:color w:val="0000FF"/>
                  <w:sz w:val="17"/>
                  <w:szCs w:val="17"/>
                </w:rPr>
                <w:drawing>
                  <wp:inline distT="0" distB="0" distL="0" distR="0">
                    <wp:extent cx="152400" cy="152400"/>
                    <wp:effectExtent l="0" t="0" r="0" b="0"/>
                    <wp:docPr id="67" name="Picture 6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4" w:name="40:7.0.1.1.1.90.159.56"/>
            <w:bookmarkEnd w:id="64"/>
            <w:r w:rsidRPr="000E6505">
              <w:rPr>
                <w:rFonts w:ascii="Arial" w:eastAsia="Times New Roman" w:hAnsi="Arial" w:cs="Arial"/>
                <w:b/>
                <w:bCs/>
                <w:sz w:val="20"/>
              </w:rPr>
              <w:t>§60.1275   What additional requirements must I meet for the operation of my continuous emission monitoring systems and continuous opacity monitoring system?</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Use the required span values and applicable performance specifications in table 4 of this subpart. </w:t>
            </w:r>
          </w:p>
          <w:p w:rsidR="000E6505" w:rsidRPr="000E6505" w:rsidRDefault="000E6505" w:rsidP="000E6505">
            <w:pPr>
              <w:spacing w:before="200" w:after="100" w:afterAutospacing="1" w:line="240" w:lineRule="auto"/>
              <w:rPr>
                <w:rFonts w:ascii="Arial" w:eastAsia="Times New Roman" w:hAnsi="Arial" w:cs="Arial"/>
                <w:sz w:val="20"/>
              </w:rPr>
            </w:pPr>
            <w:hyperlink r:id="rId186" w:anchor="_top" w:history="1">
              <w:r>
                <w:rPr>
                  <w:rFonts w:ascii="Arial" w:eastAsia="Times New Roman" w:hAnsi="Arial" w:cs="Arial"/>
                  <w:noProof/>
                  <w:color w:val="0000FF"/>
                  <w:sz w:val="17"/>
                  <w:szCs w:val="17"/>
                </w:rPr>
                <w:drawing>
                  <wp:inline distT="0" distB="0" distL="0" distR="0">
                    <wp:extent cx="152400" cy="152400"/>
                    <wp:effectExtent l="0" t="0" r="0" b="0"/>
                    <wp:docPr id="68" name="Picture 6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5" w:name="40:7.0.1.1.1.90.159.57"/>
            <w:bookmarkEnd w:id="65"/>
            <w:r w:rsidRPr="000E6505">
              <w:rPr>
                <w:rFonts w:ascii="Arial" w:eastAsia="Times New Roman" w:hAnsi="Arial" w:cs="Arial"/>
                <w:b/>
                <w:bCs/>
                <w:sz w:val="20"/>
              </w:rPr>
              <w:lastRenderedPageBreak/>
              <w:t xml:space="preserve">§60.1280   What must I do if any of my continuous emission monitoring systems </w:t>
            </w:r>
            <w:proofErr w:type="gramStart"/>
            <w:r w:rsidRPr="000E6505">
              <w:rPr>
                <w:rFonts w:ascii="Arial" w:eastAsia="Times New Roman" w:hAnsi="Arial" w:cs="Arial"/>
                <w:b/>
                <w:bCs/>
                <w:sz w:val="20"/>
              </w:rPr>
              <w:t>are</w:t>
            </w:r>
            <w:proofErr w:type="gramEnd"/>
            <w:r w:rsidRPr="000E6505">
              <w:rPr>
                <w:rFonts w:ascii="Arial" w:eastAsia="Times New Roman" w:hAnsi="Arial" w:cs="Arial"/>
                <w:b/>
                <w:bCs/>
                <w:sz w:val="20"/>
              </w:rPr>
              <w:t xml:space="preserve"> temporarily unavailable to meet the data collection requirements?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Refer to table 4 of this subpart. It shows alternate methods for collecting data when systems malfunction or when repairs, calibration checks, or zero and span checks keep you from collecting the minimum amount of data. </w:t>
            </w:r>
          </w:p>
          <w:p w:rsidR="000E6505" w:rsidRPr="000E6505" w:rsidRDefault="000E6505" w:rsidP="000E6505">
            <w:pPr>
              <w:spacing w:before="200" w:after="100" w:afterAutospacing="1" w:line="240" w:lineRule="auto"/>
              <w:rPr>
                <w:rFonts w:ascii="Arial" w:eastAsia="Times New Roman" w:hAnsi="Arial" w:cs="Arial"/>
                <w:sz w:val="20"/>
              </w:rPr>
            </w:pPr>
            <w:hyperlink r:id="rId187" w:anchor="_top" w:history="1">
              <w:r>
                <w:rPr>
                  <w:rFonts w:ascii="Arial" w:eastAsia="Times New Roman" w:hAnsi="Arial" w:cs="Arial"/>
                  <w:noProof/>
                  <w:color w:val="0000FF"/>
                  <w:sz w:val="17"/>
                  <w:szCs w:val="17"/>
                </w:rPr>
                <w:drawing>
                  <wp:inline distT="0" distB="0" distL="0" distR="0">
                    <wp:extent cx="152400" cy="152400"/>
                    <wp:effectExtent l="0" t="0" r="0" b="0"/>
                    <wp:docPr id="69" name="Picture 6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66" w:name="40:7.0.1.1.1.90.160"/>
            <w:bookmarkEnd w:id="66"/>
            <w:r w:rsidRPr="000E6505">
              <w:rPr>
                <w:rFonts w:ascii="Arial" w:eastAsia="Times New Roman" w:hAnsi="Arial" w:cs="Arial"/>
                <w:b/>
                <w:bCs/>
                <w:smallCaps/>
                <w:sz w:val="27"/>
                <w:szCs w:val="27"/>
              </w:rPr>
              <w:t>Stack Testing</w:t>
            </w:r>
          </w:p>
          <w:p w:rsidR="000E6505" w:rsidRPr="000E6505" w:rsidRDefault="000E6505" w:rsidP="000E6505">
            <w:pPr>
              <w:spacing w:before="200" w:after="100" w:afterAutospacing="1" w:line="240" w:lineRule="auto"/>
              <w:rPr>
                <w:rFonts w:ascii="Arial" w:eastAsia="Times New Roman" w:hAnsi="Arial" w:cs="Arial"/>
                <w:sz w:val="20"/>
              </w:rPr>
            </w:pPr>
            <w:hyperlink r:id="rId188" w:anchor="_top" w:history="1">
              <w:r>
                <w:rPr>
                  <w:rFonts w:ascii="Arial" w:eastAsia="Times New Roman" w:hAnsi="Arial" w:cs="Arial"/>
                  <w:noProof/>
                  <w:color w:val="0000FF"/>
                  <w:sz w:val="17"/>
                  <w:szCs w:val="17"/>
                </w:rPr>
                <w:drawing>
                  <wp:inline distT="0" distB="0" distL="0" distR="0">
                    <wp:extent cx="152400" cy="152400"/>
                    <wp:effectExtent l="0" t="0" r="0" b="0"/>
                    <wp:docPr id="70" name="Picture 7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7" w:name="40:7.0.1.1.1.90.160.58"/>
            <w:bookmarkEnd w:id="67"/>
            <w:r w:rsidRPr="000E6505">
              <w:rPr>
                <w:rFonts w:ascii="Arial" w:eastAsia="Times New Roman" w:hAnsi="Arial" w:cs="Arial"/>
                <w:b/>
                <w:bCs/>
                <w:sz w:val="20"/>
              </w:rPr>
              <w:t>§60.1285   What types of stack tests must I conduct?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Conduct initial and annual stack tests to measure the emission levels of dioxins/furans, cadmium, lead, mercury, particulate matter, opacity, hydrogen chloride, and fugitive ash. </w:t>
            </w:r>
          </w:p>
          <w:p w:rsidR="000E6505" w:rsidRPr="000E6505" w:rsidRDefault="000E6505" w:rsidP="000E6505">
            <w:pPr>
              <w:spacing w:before="200" w:after="100" w:afterAutospacing="1" w:line="240" w:lineRule="auto"/>
              <w:rPr>
                <w:rFonts w:ascii="Arial" w:eastAsia="Times New Roman" w:hAnsi="Arial" w:cs="Arial"/>
                <w:sz w:val="20"/>
              </w:rPr>
            </w:pPr>
            <w:hyperlink r:id="rId189" w:anchor="_top" w:history="1">
              <w:r>
                <w:rPr>
                  <w:rFonts w:ascii="Arial" w:eastAsia="Times New Roman" w:hAnsi="Arial" w:cs="Arial"/>
                  <w:noProof/>
                  <w:color w:val="0000FF"/>
                  <w:sz w:val="17"/>
                  <w:szCs w:val="17"/>
                </w:rPr>
                <w:drawing>
                  <wp:inline distT="0" distB="0" distL="0" distR="0">
                    <wp:extent cx="152400" cy="152400"/>
                    <wp:effectExtent l="0" t="0" r="0" b="0"/>
                    <wp:docPr id="71" name="Picture 7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8" w:name="40:7.0.1.1.1.90.160.59"/>
            <w:bookmarkEnd w:id="68"/>
            <w:r w:rsidRPr="000E6505">
              <w:rPr>
                <w:rFonts w:ascii="Arial" w:eastAsia="Times New Roman" w:hAnsi="Arial" w:cs="Arial"/>
                <w:b/>
                <w:bCs/>
                <w:sz w:val="20"/>
              </w:rPr>
              <w:t>§60.1290   How are the stack test data used?</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use results of stack tests for dioxins/furans, cadmium, lead, mercury, particulate matter, opacity, hydrogen chloride, and fugitive ash to demonstrate compliance with the emission limits in table 1 of this subpart. To demonstrate compliance for carbon monoxide, nitrogen oxides, and sulfur dioxide, see §60.1235. </w:t>
            </w:r>
          </w:p>
          <w:p w:rsidR="000E6505" w:rsidRPr="000E6505" w:rsidRDefault="000E6505" w:rsidP="000E6505">
            <w:pPr>
              <w:spacing w:before="200" w:after="100" w:afterAutospacing="1" w:line="240" w:lineRule="auto"/>
              <w:rPr>
                <w:rFonts w:ascii="Arial" w:eastAsia="Times New Roman" w:hAnsi="Arial" w:cs="Arial"/>
                <w:sz w:val="20"/>
              </w:rPr>
            </w:pPr>
            <w:hyperlink r:id="rId190" w:anchor="_top" w:history="1">
              <w:r>
                <w:rPr>
                  <w:rFonts w:ascii="Arial" w:eastAsia="Times New Roman" w:hAnsi="Arial" w:cs="Arial"/>
                  <w:noProof/>
                  <w:color w:val="0000FF"/>
                  <w:sz w:val="17"/>
                  <w:szCs w:val="17"/>
                </w:rPr>
                <w:drawing>
                  <wp:inline distT="0" distB="0" distL="0" distR="0">
                    <wp:extent cx="152400" cy="152400"/>
                    <wp:effectExtent l="0" t="0" r="0" b="0"/>
                    <wp:docPr id="72" name="Picture 7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69" w:name="40:7.0.1.1.1.90.160.60"/>
            <w:bookmarkEnd w:id="69"/>
            <w:r w:rsidRPr="000E6505">
              <w:rPr>
                <w:rFonts w:ascii="Arial" w:eastAsia="Times New Roman" w:hAnsi="Arial" w:cs="Arial"/>
                <w:b/>
                <w:bCs/>
                <w:sz w:val="20"/>
              </w:rPr>
              <w:t>§60.1295   What schedule must I follow for the stack testing?</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Conduct initial stack tests for the pollutants listed in §60.1285 within 60 days after your municipal waste combustion unit reaches the maximum load level at which it will operate, but no later than 180 days after its initial startup.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Conduct annual stack tests for the same pollutants after the initial stack test. Conduct each annual stack test no later than 13 months after the previous stack test. </w:t>
            </w:r>
          </w:p>
          <w:p w:rsidR="000E6505" w:rsidRPr="000E6505" w:rsidRDefault="000E6505" w:rsidP="000E6505">
            <w:pPr>
              <w:spacing w:before="200" w:after="100" w:afterAutospacing="1" w:line="240" w:lineRule="auto"/>
              <w:rPr>
                <w:rFonts w:ascii="Arial" w:eastAsia="Times New Roman" w:hAnsi="Arial" w:cs="Arial"/>
                <w:sz w:val="20"/>
              </w:rPr>
            </w:pPr>
            <w:hyperlink r:id="rId191" w:anchor="_top" w:history="1">
              <w:r>
                <w:rPr>
                  <w:rFonts w:ascii="Arial" w:eastAsia="Times New Roman" w:hAnsi="Arial" w:cs="Arial"/>
                  <w:noProof/>
                  <w:color w:val="0000FF"/>
                  <w:sz w:val="17"/>
                  <w:szCs w:val="17"/>
                </w:rPr>
                <w:drawing>
                  <wp:inline distT="0" distB="0" distL="0" distR="0">
                    <wp:extent cx="152400" cy="152400"/>
                    <wp:effectExtent l="0" t="0" r="0" b="0"/>
                    <wp:docPr id="73" name="Picture 7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0" w:name="40:7.0.1.1.1.90.160.61"/>
            <w:bookmarkEnd w:id="70"/>
            <w:r w:rsidRPr="000E6505">
              <w:rPr>
                <w:rFonts w:ascii="Arial" w:eastAsia="Times New Roman" w:hAnsi="Arial" w:cs="Arial"/>
                <w:b/>
                <w:bCs/>
                <w:sz w:val="20"/>
              </w:rPr>
              <w:t>§60.1300   What test methods must I use to stack test?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Follow table 5 of this subpart to establish the sampling location and to determine pollutant concentrations, number of traverse points, individual test methods, and other specific testing requirements for the different pollutants.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Make sure that stack tests for all the pollutants consist of at least three test runs, as specified in §60.8. Use the average of the pollutant emission concentrations from the three test runs to determine compliance with the emission limits in table 1 of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(c) Obtain an oxygen (or carbon dioxide) measurement at the same time as your pollutant measurements to determine diluent gas levels, as specified in §60.1230.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Use the equations in §60.1460(a) to calculate emission levels at 7 percent oxygen (or an equivalent carbon dioxide basis), the percent reduction in potential hydrogen chloride emissions, and the reduction efficiency for mercury emissions. See the individual test methods in table 5 of this subpart for other required equations.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You can apply to the Administrator for approval under §60.8(b) to use a reference method with minor changes in methodology, use an equivalent method, use an alternative method the results of which the Administrator has determined are adequate for demonstrating compliance, waive the requirement for a performance test because you have demonstrated by other means that you are in compliance, or use a shorter sampling time or smaller sampling volume. </w:t>
            </w:r>
          </w:p>
          <w:p w:rsidR="000E6505" w:rsidRPr="000E6505" w:rsidRDefault="000E6505" w:rsidP="000E6505">
            <w:pPr>
              <w:spacing w:before="200" w:after="100" w:afterAutospacing="1" w:line="240" w:lineRule="auto"/>
              <w:rPr>
                <w:rFonts w:ascii="Arial" w:eastAsia="Times New Roman" w:hAnsi="Arial" w:cs="Arial"/>
                <w:sz w:val="20"/>
              </w:rPr>
            </w:pPr>
            <w:hyperlink r:id="rId192" w:anchor="_top" w:history="1">
              <w:r>
                <w:rPr>
                  <w:rFonts w:ascii="Arial" w:eastAsia="Times New Roman" w:hAnsi="Arial" w:cs="Arial"/>
                  <w:noProof/>
                  <w:color w:val="0000FF"/>
                  <w:sz w:val="17"/>
                  <w:szCs w:val="17"/>
                </w:rPr>
                <w:drawing>
                  <wp:inline distT="0" distB="0" distL="0" distR="0">
                    <wp:extent cx="152400" cy="152400"/>
                    <wp:effectExtent l="0" t="0" r="0" b="0"/>
                    <wp:docPr id="74" name="Picture 7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1" w:name="40:7.0.1.1.1.90.160.62"/>
            <w:bookmarkEnd w:id="71"/>
            <w:r w:rsidRPr="000E6505">
              <w:rPr>
                <w:rFonts w:ascii="Arial" w:eastAsia="Times New Roman" w:hAnsi="Arial" w:cs="Arial"/>
                <w:b/>
                <w:bCs/>
                <w:sz w:val="20"/>
              </w:rPr>
              <w:t>§60.1305   May I conduct stack testing less often?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You may test less often if you own or operate a Class II municipal waste combustion unit and if all stack tests for a given pollutant over 3 consecutive years show you comply with the emission limit. In that case, you are not required to conduct a stack test for that pollutant for the next 2 years. However, you must conduct another stack test within 36 months of the anniversary date of the third consecutive stack test that shows you comply with the emission limit. Thereafter, you must perform stack tests every 3rd year but no later than 36 months following the previous stack tests. If a stack test shows noncompliance with an emission limit, you must conduct annual stack tests for that pollutant until all stack tests over 3 consecutive years show compliance with the emission limit for that pollutant. The provision applies to all pollutants subject to stack testing requirements: dioxins/furans, cadmium, lead, mercury, particulate matter, opacity, hydrogen chloride, and fugitive ash.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You can test less often for dioxins/furans emissions if you own or operate a municipal waste combustion plant that meets two conditions. First, you have multiple municipal waste combustion </w:t>
            </w:r>
            <w:proofErr w:type="gramStart"/>
            <w:r w:rsidRPr="000E6505">
              <w:rPr>
                <w:rFonts w:ascii="Arial" w:eastAsia="Times New Roman" w:hAnsi="Arial" w:cs="Arial"/>
                <w:sz w:val="20"/>
              </w:rPr>
              <w:t>units</w:t>
            </w:r>
            <w:proofErr w:type="gramEnd"/>
            <w:r w:rsidRPr="000E6505">
              <w:rPr>
                <w:rFonts w:ascii="Arial" w:eastAsia="Times New Roman" w:hAnsi="Arial" w:cs="Arial"/>
                <w:sz w:val="20"/>
              </w:rPr>
              <w:t xml:space="preserve"> onsite that are subject to this subpart. Second, all those municipal waste combustion units have demonstrated levels of dioxins/furans emissions less than or equal to 7 nanograms per dry standard cubic meter (total mass) for 2 consecutive years. In that case, you may choose to conduct annual stack tests on only one municipal waste combustion unit per year at your plant. The provision only applies to stack testing for dioxins/furans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Conduct the stack test no more than 13 months following a stack test on any municipal waste combustion unit subject to this subpart at your plant. Each year, test a different municipal waste combustion unit subject to this subpart and test all municipal waste combustion units subject to this subpart in a sequence that you determine. Once you determine a testing sequence, it must not be changed without approval by the Administrator.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If each annual stack test shows levels of dioxins/furans emissions less than or equal to 7 nanograms per dry standard cubic meter (total mass), you may continue stack tests on only one municipal waste combustion unit subject to this subpart per year.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If any annual stack test indicates levels of dioxins/furans emissions greater than 7 nanograms per dry standard cubic meter (total mass), conduct subsequent annual stack tests on all municipal waste combustion units subject to this subpart at your plant. You may return to testing one municipal waste combustion unit subject to this subpart per year if you can demonstrate dioxins/furans emission levels less than or equal to 7 nanograms per dry standard cubic meter (total mass) for all municipal waste combustion units at your plant subject to this subpart for 2 consecutive years. </w:t>
            </w:r>
          </w:p>
          <w:p w:rsidR="000E6505" w:rsidRPr="000E6505" w:rsidRDefault="000E6505" w:rsidP="000E6505">
            <w:pPr>
              <w:spacing w:before="200" w:after="100" w:afterAutospacing="1" w:line="240" w:lineRule="auto"/>
              <w:rPr>
                <w:rFonts w:ascii="Arial" w:eastAsia="Times New Roman" w:hAnsi="Arial" w:cs="Arial"/>
                <w:sz w:val="20"/>
              </w:rPr>
            </w:pPr>
            <w:hyperlink r:id="rId193" w:anchor="_top" w:history="1">
              <w:r>
                <w:rPr>
                  <w:rFonts w:ascii="Arial" w:eastAsia="Times New Roman" w:hAnsi="Arial" w:cs="Arial"/>
                  <w:noProof/>
                  <w:color w:val="0000FF"/>
                  <w:sz w:val="17"/>
                  <w:szCs w:val="17"/>
                </w:rPr>
                <w:drawing>
                  <wp:inline distT="0" distB="0" distL="0" distR="0">
                    <wp:extent cx="152400" cy="152400"/>
                    <wp:effectExtent l="0" t="0" r="0" b="0"/>
                    <wp:docPr id="75" name="Picture 7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2" w:name="40:7.0.1.1.1.90.160.63"/>
            <w:bookmarkEnd w:id="72"/>
            <w:r w:rsidRPr="000E6505">
              <w:rPr>
                <w:rFonts w:ascii="Arial" w:eastAsia="Times New Roman" w:hAnsi="Arial" w:cs="Arial"/>
                <w:b/>
                <w:bCs/>
                <w:sz w:val="20"/>
              </w:rPr>
              <w:t>§60.1310   May I deviate from the 13-month testing schedule if unforeseen circumstances arise?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may not deviate from the 13-month testing schedules specified in §§60.1295(b) and 60.1305(b)(1) unless you apply to the Administrator for an alternative schedule, and the Administrator approves your request for alternate scheduling prior to the date on which you would otherwise have been required to conduct the next stack test. </w:t>
            </w:r>
          </w:p>
          <w:p w:rsidR="000E6505" w:rsidRPr="000E6505" w:rsidRDefault="000E6505" w:rsidP="000E6505">
            <w:pPr>
              <w:spacing w:before="200" w:after="100" w:afterAutospacing="1" w:line="240" w:lineRule="auto"/>
              <w:rPr>
                <w:rFonts w:ascii="Arial" w:eastAsia="Times New Roman" w:hAnsi="Arial" w:cs="Arial"/>
                <w:sz w:val="20"/>
              </w:rPr>
            </w:pPr>
            <w:hyperlink r:id="rId194" w:anchor="_top" w:history="1">
              <w:r>
                <w:rPr>
                  <w:rFonts w:ascii="Arial" w:eastAsia="Times New Roman" w:hAnsi="Arial" w:cs="Arial"/>
                  <w:noProof/>
                  <w:color w:val="0000FF"/>
                  <w:sz w:val="17"/>
                  <w:szCs w:val="17"/>
                </w:rPr>
                <w:drawing>
                  <wp:inline distT="0" distB="0" distL="0" distR="0">
                    <wp:extent cx="152400" cy="152400"/>
                    <wp:effectExtent l="0" t="0" r="0" b="0"/>
                    <wp:docPr id="76" name="Picture 7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73" w:name="40:7.0.1.1.1.90.161"/>
            <w:bookmarkEnd w:id="73"/>
            <w:r w:rsidRPr="000E6505">
              <w:rPr>
                <w:rFonts w:ascii="Arial" w:eastAsia="Times New Roman" w:hAnsi="Arial" w:cs="Arial"/>
                <w:b/>
                <w:bCs/>
                <w:smallCaps/>
                <w:sz w:val="27"/>
                <w:szCs w:val="27"/>
              </w:rPr>
              <w:t>Other Monitoring Requirements</w:t>
            </w:r>
          </w:p>
          <w:p w:rsidR="000E6505" w:rsidRPr="000E6505" w:rsidRDefault="000E6505" w:rsidP="000E6505">
            <w:pPr>
              <w:spacing w:before="200" w:after="100" w:afterAutospacing="1" w:line="240" w:lineRule="auto"/>
              <w:rPr>
                <w:rFonts w:ascii="Arial" w:eastAsia="Times New Roman" w:hAnsi="Arial" w:cs="Arial"/>
                <w:sz w:val="20"/>
              </w:rPr>
            </w:pPr>
            <w:hyperlink r:id="rId195" w:anchor="_top" w:history="1">
              <w:r>
                <w:rPr>
                  <w:rFonts w:ascii="Arial" w:eastAsia="Times New Roman" w:hAnsi="Arial" w:cs="Arial"/>
                  <w:noProof/>
                  <w:color w:val="0000FF"/>
                  <w:sz w:val="17"/>
                  <w:szCs w:val="17"/>
                </w:rPr>
                <w:drawing>
                  <wp:inline distT="0" distB="0" distL="0" distR="0">
                    <wp:extent cx="152400" cy="152400"/>
                    <wp:effectExtent l="0" t="0" r="0" b="0"/>
                    <wp:docPr id="77" name="Picture 7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4" w:name="40:7.0.1.1.1.90.161.64"/>
            <w:bookmarkEnd w:id="74"/>
            <w:r w:rsidRPr="000E6505">
              <w:rPr>
                <w:rFonts w:ascii="Arial" w:eastAsia="Times New Roman" w:hAnsi="Arial" w:cs="Arial"/>
                <w:b/>
                <w:bCs/>
                <w:sz w:val="20"/>
              </w:rPr>
              <w:t>§60.1315   Must I meet other requirements for continuous monitoring?</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also monitor three operating parameters: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Load level of each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Temperature of flue gases at the inlet of your particulate matter air pollution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Carbon feed rate if activated carbon is used to control dioxins/furans or mercury emissions. </w:t>
            </w:r>
          </w:p>
          <w:p w:rsidR="000E6505" w:rsidRPr="000E6505" w:rsidRDefault="000E6505" w:rsidP="000E6505">
            <w:pPr>
              <w:spacing w:before="200" w:after="100" w:afterAutospacing="1" w:line="240" w:lineRule="auto"/>
              <w:rPr>
                <w:rFonts w:ascii="Arial" w:eastAsia="Times New Roman" w:hAnsi="Arial" w:cs="Arial"/>
                <w:sz w:val="20"/>
              </w:rPr>
            </w:pPr>
            <w:hyperlink r:id="rId196" w:anchor="_top" w:history="1">
              <w:r>
                <w:rPr>
                  <w:rFonts w:ascii="Arial" w:eastAsia="Times New Roman" w:hAnsi="Arial" w:cs="Arial"/>
                  <w:noProof/>
                  <w:color w:val="0000FF"/>
                  <w:sz w:val="17"/>
                  <w:szCs w:val="17"/>
                </w:rPr>
                <w:drawing>
                  <wp:inline distT="0" distB="0" distL="0" distR="0">
                    <wp:extent cx="152400" cy="152400"/>
                    <wp:effectExtent l="0" t="0" r="0" b="0"/>
                    <wp:docPr id="78" name="Picture 7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5" w:name="40:7.0.1.1.1.90.161.65"/>
            <w:bookmarkEnd w:id="75"/>
            <w:r w:rsidRPr="000E6505">
              <w:rPr>
                <w:rFonts w:ascii="Arial" w:eastAsia="Times New Roman" w:hAnsi="Arial" w:cs="Arial"/>
                <w:b/>
                <w:bCs/>
                <w:sz w:val="20"/>
              </w:rPr>
              <w:t>§60.1320   How do I monitor the load of my municipal waste combustion unit?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If your municipal waste combustion unit generates steam, you must install, calibrate, maintain, and operate a steam flowmeter or a feed water flowmeter and meet five requirements: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Continuously measure and record the measurements of steam (or feed water) in kilograms (or pounds) per hour.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Calculate your steam (or feed water) flow in 4-hour block averages.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(3) Calculate the steam (or feed water) flow rate using the method in “American Society of Mechanical Engineers Power Test Codes: Test Code for Steam Generating Units, Power Test Code 4.1—1964 (R1991),” section 4 (incorporated by reference in §60.17(h</w:t>
            </w:r>
            <w:proofErr w:type="gramStart"/>
            <w:r w:rsidRPr="000E6505">
              <w:rPr>
                <w:rFonts w:ascii="Arial" w:eastAsia="Times New Roman" w:hAnsi="Arial" w:cs="Arial"/>
                <w:sz w:val="20"/>
              </w:rPr>
              <w:t>)(</w:t>
            </w:r>
            <w:proofErr w:type="gramEnd"/>
            <w:r w:rsidRPr="000E6505">
              <w:rPr>
                <w:rFonts w:ascii="Arial" w:eastAsia="Times New Roman" w:hAnsi="Arial" w:cs="Arial"/>
                <w:sz w:val="20"/>
              </w:rPr>
              <w:t xml:space="preserve">2)).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(4) Design, construct, install, calibrate, and use nozzles or orifices for flow rate measurements, using the recommendations in “American Society of Mechanical Engineers Interim Supplement 19.5 on Instruments and Apparatus: Application, part II of Fluid Meters,” 6th Edition (1971), chapter 4 (incorporated by reference in §60.17(h</w:t>
            </w:r>
            <w:proofErr w:type="gramStart"/>
            <w:r w:rsidRPr="000E6505">
              <w:rPr>
                <w:rFonts w:ascii="Arial" w:eastAsia="Times New Roman" w:hAnsi="Arial" w:cs="Arial"/>
                <w:sz w:val="20"/>
              </w:rPr>
              <w:t>)(</w:t>
            </w:r>
            <w:proofErr w:type="gramEnd"/>
            <w:r w:rsidRPr="000E6505">
              <w:rPr>
                <w:rFonts w:ascii="Arial" w:eastAsia="Times New Roman" w:hAnsi="Arial" w:cs="Arial"/>
                <w:sz w:val="20"/>
              </w:rPr>
              <w:t xml:space="preserve">3)).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Before each dioxins/furans stack test, or at least once a year, calibrate all signal conversion elements associated with steam (or feed water) flow measurements according to the manufacturer instructions.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(b) If your municipal waste combustion unit does not generate steam, or, if your municipal waste combustion units have shared steam systems and steam load cannot be estimated per unit, you must determine, to the satisfaction of the Administrator, one or more operating parameters that can be used to continuously estimate load level (for example, the feed rate of municipal solid waste or refuse-derived fuel). You must continuously monitor the selected parameters. </w:t>
            </w:r>
          </w:p>
          <w:p w:rsidR="000E6505" w:rsidRPr="000E6505" w:rsidRDefault="000E6505" w:rsidP="000E6505">
            <w:pPr>
              <w:spacing w:before="200" w:after="100" w:afterAutospacing="1" w:line="240" w:lineRule="auto"/>
              <w:rPr>
                <w:rFonts w:ascii="Arial" w:eastAsia="Times New Roman" w:hAnsi="Arial" w:cs="Arial"/>
                <w:sz w:val="20"/>
              </w:rPr>
            </w:pPr>
            <w:hyperlink r:id="rId197" w:anchor="_top" w:history="1">
              <w:r>
                <w:rPr>
                  <w:rFonts w:ascii="Arial" w:eastAsia="Times New Roman" w:hAnsi="Arial" w:cs="Arial"/>
                  <w:noProof/>
                  <w:color w:val="0000FF"/>
                  <w:sz w:val="17"/>
                  <w:szCs w:val="17"/>
                </w:rPr>
                <w:drawing>
                  <wp:inline distT="0" distB="0" distL="0" distR="0">
                    <wp:extent cx="152400" cy="152400"/>
                    <wp:effectExtent l="0" t="0" r="0" b="0"/>
                    <wp:docPr id="79" name="Picture 7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6" w:name="40:7.0.1.1.1.90.161.66"/>
            <w:bookmarkEnd w:id="76"/>
            <w:r w:rsidRPr="000E6505">
              <w:rPr>
                <w:rFonts w:ascii="Arial" w:eastAsia="Times New Roman" w:hAnsi="Arial" w:cs="Arial"/>
                <w:b/>
                <w:bCs/>
                <w:sz w:val="20"/>
              </w:rPr>
              <w:t>§60.1325   How do I monitor the temperature of flue gases at the inlet of my particulate matter control device?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install, calibrate, maintain, and operate a device to continuously measure the temperature of the flue gas stream at the inlet of each particulate matter control device. </w:t>
            </w:r>
          </w:p>
          <w:p w:rsidR="000E6505" w:rsidRPr="000E6505" w:rsidRDefault="000E6505" w:rsidP="000E6505">
            <w:pPr>
              <w:spacing w:before="200" w:after="100" w:afterAutospacing="1" w:line="240" w:lineRule="auto"/>
              <w:rPr>
                <w:rFonts w:ascii="Arial" w:eastAsia="Times New Roman" w:hAnsi="Arial" w:cs="Arial"/>
                <w:sz w:val="20"/>
              </w:rPr>
            </w:pPr>
            <w:hyperlink r:id="rId198" w:anchor="_top" w:history="1">
              <w:r>
                <w:rPr>
                  <w:rFonts w:ascii="Arial" w:eastAsia="Times New Roman" w:hAnsi="Arial" w:cs="Arial"/>
                  <w:noProof/>
                  <w:color w:val="0000FF"/>
                  <w:sz w:val="17"/>
                  <w:szCs w:val="17"/>
                </w:rPr>
                <w:drawing>
                  <wp:inline distT="0" distB="0" distL="0" distR="0">
                    <wp:extent cx="152400" cy="152400"/>
                    <wp:effectExtent l="0" t="0" r="0" b="0"/>
                    <wp:docPr id="80" name="Picture 8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7" w:name="40:7.0.1.1.1.90.161.67"/>
            <w:bookmarkEnd w:id="77"/>
            <w:r w:rsidRPr="000E6505">
              <w:rPr>
                <w:rFonts w:ascii="Arial" w:eastAsia="Times New Roman" w:hAnsi="Arial" w:cs="Arial"/>
                <w:b/>
                <w:bCs/>
                <w:sz w:val="20"/>
              </w:rPr>
              <w:t>§60.1330   How do I monitor the injection rate of activated carbon?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If your municipal waste combustion unit uses activated carbon to control dioxins/furans or mercury emissions, you must meet three requirements: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Select a carbon injection system operating parameter that can be used to calculate carbon feed rate (for example, screw feeder speed).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During each dioxins/furans and mercury stack test, determine the average carbon feed rate in kilograms (or pounds) per hour. Also, determine the average operating parameter level that correlates to the carbon feed rate. Establish a relationship between the operating parameter and the carbon feed rate in order to calculate the carbon feed rate based on the operating parameter level.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Continuously monitor the selected operating parameter during all periods when the municipal waste combustion unit is operating and combusting waste, and calculate the 8-hour block average carbon feed rate in kilograms (or pounds) per hour, based on the selected operating parameter. When calculating the 8-hour block average, do two things: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Exclude hours when the municipal waste combustion unit is not operating.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Include hours when the municipal waste combustion unit is operating but the carbon feed system is not working correctly. </w:t>
            </w:r>
          </w:p>
          <w:p w:rsidR="000E6505" w:rsidRPr="000E6505" w:rsidRDefault="000E6505" w:rsidP="000E6505">
            <w:pPr>
              <w:spacing w:before="200" w:after="100" w:afterAutospacing="1" w:line="240" w:lineRule="auto"/>
              <w:rPr>
                <w:rFonts w:ascii="Arial" w:eastAsia="Times New Roman" w:hAnsi="Arial" w:cs="Arial"/>
                <w:sz w:val="20"/>
              </w:rPr>
            </w:pPr>
            <w:hyperlink r:id="rId199" w:anchor="_top" w:history="1">
              <w:r>
                <w:rPr>
                  <w:rFonts w:ascii="Arial" w:eastAsia="Times New Roman" w:hAnsi="Arial" w:cs="Arial"/>
                  <w:noProof/>
                  <w:color w:val="0000FF"/>
                  <w:sz w:val="17"/>
                  <w:szCs w:val="17"/>
                </w:rPr>
                <w:drawing>
                  <wp:inline distT="0" distB="0" distL="0" distR="0">
                    <wp:extent cx="152400" cy="152400"/>
                    <wp:effectExtent l="0" t="0" r="0" b="0"/>
                    <wp:docPr id="81" name="Picture 8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78" w:name="40:7.0.1.1.1.90.161.68"/>
            <w:bookmarkEnd w:id="78"/>
            <w:r w:rsidRPr="000E6505">
              <w:rPr>
                <w:rFonts w:ascii="Arial" w:eastAsia="Times New Roman" w:hAnsi="Arial" w:cs="Arial"/>
                <w:b/>
                <w:bCs/>
                <w:sz w:val="20"/>
              </w:rPr>
              <w:t>§60.1335   What is the minimum amount of monitoring data I must collect with my continuous parameter monitoring systems and is the data collection requirement enforceable?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Where continuous parameter monitoring systems are used, obtain 1-hour arithmetic averages for three parameters: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Load level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Temperature of the flue gases at the inlet of your particulate matter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(3) Carbon feed rate if activated carbon is used to control dioxins/furans or mercury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Obtain at least two data points per hour in order to calculate a valid 1-hour arithmetic average.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Obtain valid 1-hour averages for at least 75 percent of the operating hours per day for 90 percent of the operating days per calendar quarter. An operating day is any day the unit combusts any municipal solid waste or refuse-derived fuel.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If you do not obtain the minimum data required in paragraphs (a) through (c) of this section, you are in violation of the data collection requirement and you must notify the Administrator according to §60.1410(e). </w:t>
            </w:r>
          </w:p>
          <w:p w:rsidR="000E6505" w:rsidRPr="000E6505" w:rsidRDefault="000E6505" w:rsidP="000E6505">
            <w:pPr>
              <w:spacing w:before="200" w:after="100" w:afterAutospacing="1" w:line="240" w:lineRule="auto"/>
              <w:rPr>
                <w:rFonts w:ascii="Arial" w:eastAsia="Times New Roman" w:hAnsi="Arial" w:cs="Arial"/>
                <w:sz w:val="20"/>
              </w:rPr>
            </w:pPr>
            <w:hyperlink r:id="rId200" w:anchor="_top" w:history="1">
              <w:r>
                <w:rPr>
                  <w:rFonts w:ascii="Arial" w:eastAsia="Times New Roman" w:hAnsi="Arial" w:cs="Arial"/>
                  <w:noProof/>
                  <w:color w:val="0000FF"/>
                  <w:sz w:val="17"/>
                  <w:szCs w:val="17"/>
                </w:rPr>
                <w:drawing>
                  <wp:inline distT="0" distB="0" distL="0" distR="0">
                    <wp:extent cx="152400" cy="152400"/>
                    <wp:effectExtent l="0" t="0" r="0" b="0"/>
                    <wp:docPr id="82" name="Picture 8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79" w:name="40:7.0.1.1.1.90.162"/>
            <w:bookmarkEnd w:id="79"/>
            <w:r w:rsidRPr="000E6505">
              <w:rPr>
                <w:rFonts w:ascii="Arial" w:eastAsia="Times New Roman" w:hAnsi="Arial" w:cs="Arial"/>
                <w:b/>
                <w:bCs/>
                <w:smallCaps/>
                <w:sz w:val="27"/>
                <w:szCs w:val="27"/>
              </w:rPr>
              <w:t>Recordkeeping</w:t>
            </w:r>
          </w:p>
          <w:p w:rsidR="000E6505" w:rsidRPr="000E6505" w:rsidRDefault="000E6505" w:rsidP="000E6505">
            <w:pPr>
              <w:spacing w:before="200" w:after="100" w:afterAutospacing="1" w:line="240" w:lineRule="auto"/>
              <w:rPr>
                <w:rFonts w:ascii="Arial" w:eastAsia="Times New Roman" w:hAnsi="Arial" w:cs="Arial"/>
                <w:sz w:val="20"/>
              </w:rPr>
            </w:pPr>
            <w:hyperlink r:id="rId201" w:anchor="_top" w:history="1">
              <w:r>
                <w:rPr>
                  <w:rFonts w:ascii="Arial" w:eastAsia="Times New Roman" w:hAnsi="Arial" w:cs="Arial"/>
                  <w:noProof/>
                  <w:color w:val="0000FF"/>
                  <w:sz w:val="17"/>
                  <w:szCs w:val="17"/>
                </w:rPr>
                <w:drawing>
                  <wp:inline distT="0" distB="0" distL="0" distR="0">
                    <wp:extent cx="152400" cy="152400"/>
                    <wp:effectExtent l="0" t="0" r="0" b="0"/>
                    <wp:docPr id="83" name="Picture 8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0" w:name="40:7.0.1.1.1.90.162.69"/>
            <w:bookmarkEnd w:id="80"/>
            <w:r w:rsidRPr="000E6505">
              <w:rPr>
                <w:rFonts w:ascii="Arial" w:eastAsia="Times New Roman" w:hAnsi="Arial" w:cs="Arial"/>
                <w:b/>
                <w:bCs/>
                <w:sz w:val="20"/>
              </w:rPr>
              <w:t>§60.1340   What records must I keep?</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keep five types of records: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Materials separation plan and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Operator training and certification.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Stack tests.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Continuously monitored pollutants and parameters.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Carbon feed rate. </w:t>
            </w:r>
          </w:p>
          <w:p w:rsidR="000E6505" w:rsidRPr="000E6505" w:rsidRDefault="000E6505" w:rsidP="000E6505">
            <w:pPr>
              <w:spacing w:before="200" w:after="100" w:afterAutospacing="1" w:line="240" w:lineRule="auto"/>
              <w:rPr>
                <w:rFonts w:ascii="Arial" w:eastAsia="Times New Roman" w:hAnsi="Arial" w:cs="Arial"/>
                <w:sz w:val="20"/>
              </w:rPr>
            </w:pPr>
            <w:hyperlink r:id="rId202" w:anchor="_top" w:history="1">
              <w:r>
                <w:rPr>
                  <w:rFonts w:ascii="Arial" w:eastAsia="Times New Roman" w:hAnsi="Arial" w:cs="Arial"/>
                  <w:noProof/>
                  <w:color w:val="0000FF"/>
                  <w:sz w:val="17"/>
                  <w:szCs w:val="17"/>
                </w:rPr>
                <w:drawing>
                  <wp:inline distT="0" distB="0" distL="0" distR="0">
                    <wp:extent cx="152400" cy="152400"/>
                    <wp:effectExtent l="0" t="0" r="0" b="0"/>
                    <wp:docPr id="84" name="Picture 8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1" w:name="40:7.0.1.1.1.90.162.70"/>
            <w:bookmarkEnd w:id="81"/>
            <w:r w:rsidRPr="000E6505">
              <w:rPr>
                <w:rFonts w:ascii="Arial" w:eastAsia="Times New Roman" w:hAnsi="Arial" w:cs="Arial"/>
                <w:b/>
                <w:bCs/>
                <w:sz w:val="20"/>
              </w:rPr>
              <w:t>§60.1345   Where must I keep my records and for how long?</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Keep all records onsite in paper copy or electronic format unless the Administrator approves another format.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Keep all records on each municipal waste combustion unit for at least 5 years.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Make all records available for submittal to the Administrator, or for onsite review by an inspector. </w:t>
            </w:r>
          </w:p>
          <w:p w:rsidR="000E6505" w:rsidRPr="000E6505" w:rsidRDefault="000E6505" w:rsidP="000E6505">
            <w:pPr>
              <w:spacing w:before="200" w:after="100" w:afterAutospacing="1" w:line="240" w:lineRule="auto"/>
              <w:rPr>
                <w:rFonts w:ascii="Arial" w:eastAsia="Times New Roman" w:hAnsi="Arial" w:cs="Arial"/>
                <w:sz w:val="20"/>
              </w:rPr>
            </w:pPr>
            <w:hyperlink r:id="rId203" w:anchor="_top" w:history="1">
              <w:r>
                <w:rPr>
                  <w:rFonts w:ascii="Arial" w:eastAsia="Times New Roman" w:hAnsi="Arial" w:cs="Arial"/>
                  <w:noProof/>
                  <w:color w:val="0000FF"/>
                  <w:sz w:val="17"/>
                  <w:szCs w:val="17"/>
                </w:rPr>
                <w:drawing>
                  <wp:inline distT="0" distB="0" distL="0" distR="0">
                    <wp:extent cx="152400" cy="152400"/>
                    <wp:effectExtent l="0" t="0" r="0" b="0"/>
                    <wp:docPr id="85" name="Picture 8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2" w:name="40:7.0.1.1.1.90.162.71"/>
            <w:bookmarkEnd w:id="82"/>
            <w:r w:rsidRPr="000E6505">
              <w:rPr>
                <w:rFonts w:ascii="Arial" w:eastAsia="Times New Roman" w:hAnsi="Arial" w:cs="Arial"/>
                <w:b/>
                <w:bCs/>
                <w:sz w:val="20"/>
              </w:rPr>
              <w:t>§60.1350   What records must I keep for the materials separation plan and siting analysis?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keep records of five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(a) The date of each record.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The final materials separation plan.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The siting analysis.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A record of the location and date of the public meetings.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Your responses to the public comments received during the public comment periods. </w:t>
            </w:r>
          </w:p>
          <w:p w:rsidR="000E6505" w:rsidRPr="000E6505" w:rsidRDefault="000E6505" w:rsidP="000E6505">
            <w:pPr>
              <w:spacing w:before="200" w:after="100" w:afterAutospacing="1" w:line="240" w:lineRule="auto"/>
              <w:rPr>
                <w:rFonts w:ascii="Arial" w:eastAsia="Times New Roman" w:hAnsi="Arial" w:cs="Arial"/>
                <w:sz w:val="20"/>
              </w:rPr>
            </w:pPr>
            <w:hyperlink r:id="rId204" w:anchor="_top" w:history="1">
              <w:r>
                <w:rPr>
                  <w:rFonts w:ascii="Arial" w:eastAsia="Times New Roman" w:hAnsi="Arial" w:cs="Arial"/>
                  <w:noProof/>
                  <w:color w:val="0000FF"/>
                  <w:sz w:val="17"/>
                  <w:szCs w:val="17"/>
                </w:rPr>
                <w:drawing>
                  <wp:inline distT="0" distB="0" distL="0" distR="0">
                    <wp:extent cx="152400" cy="152400"/>
                    <wp:effectExtent l="0" t="0" r="0" b="0"/>
                    <wp:docPr id="86" name="Picture 8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3" w:name="40:7.0.1.1.1.90.162.72"/>
            <w:bookmarkEnd w:id="83"/>
            <w:r w:rsidRPr="000E6505">
              <w:rPr>
                <w:rFonts w:ascii="Arial" w:eastAsia="Times New Roman" w:hAnsi="Arial" w:cs="Arial"/>
                <w:b/>
                <w:bCs/>
                <w:sz w:val="20"/>
              </w:rPr>
              <w:t>§60.1355   What records must I keep for operator training and certification?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keep records of six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t>
            </w:r>
            <w:r w:rsidRPr="000E6505">
              <w:rPr>
                <w:rFonts w:ascii="Arial" w:eastAsia="Times New Roman" w:hAnsi="Arial" w:cs="Arial"/>
                <w:i/>
                <w:iCs/>
                <w:sz w:val="20"/>
              </w:rPr>
              <w:t>Records of provisional certifications.</w:t>
            </w:r>
            <w:r w:rsidRPr="000E6505">
              <w:rPr>
                <w:rFonts w:ascii="Arial" w:eastAsia="Times New Roman" w:hAnsi="Arial" w:cs="Arial"/>
                <w:sz w:val="20"/>
              </w:rPr>
              <w:t xml:space="preserve"> Include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For your municipal waste combustion plant, names of the chief facility operator, shift supervisors, and control room operators who are provisionally certified by the American Society of Mechanical Engineers or an equivalent State-approved certification program.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Dates of the initial provisional certifications.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Documentation showing current provisional certifications.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w:t>
            </w:r>
            <w:r w:rsidRPr="000E6505">
              <w:rPr>
                <w:rFonts w:ascii="Arial" w:eastAsia="Times New Roman" w:hAnsi="Arial" w:cs="Arial"/>
                <w:i/>
                <w:iCs/>
                <w:sz w:val="20"/>
              </w:rPr>
              <w:t>Records of full certifications.</w:t>
            </w:r>
            <w:r w:rsidRPr="000E6505">
              <w:rPr>
                <w:rFonts w:ascii="Arial" w:eastAsia="Times New Roman" w:hAnsi="Arial" w:cs="Arial"/>
                <w:sz w:val="20"/>
              </w:rPr>
              <w:t xml:space="preserve"> Include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For your municipal waste combustion plant, names of the chief facility operator, shift supervisors, and control room operators who are fully certified by the American Society of Mechanical Engineers or an equivalent State-approved certification program.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Dates of initial and renewal full certifications.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Documentation showing current full certifications.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w:t>
            </w:r>
            <w:r w:rsidRPr="000E6505">
              <w:rPr>
                <w:rFonts w:ascii="Arial" w:eastAsia="Times New Roman" w:hAnsi="Arial" w:cs="Arial"/>
                <w:i/>
                <w:iCs/>
                <w:sz w:val="20"/>
              </w:rPr>
              <w:t>Records showing completion of the operator training course.</w:t>
            </w:r>
            <w:r w:rsidRPr="000E6505">
              <w:rPr>
                <w:rFonts w:ascii="Arial" w:eastAsia="Times New Roman" w:hAnsi="Arial" w:cs="Arial"/>
                <w:sz w:val="20"/>
              </w:rPr>
              <w:t xml:space="preserve"> Include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For your municipal waste combustion plant, names of the chief facility operator, shift supervisors, and control room operators who have completed the EPA or State municipal waste combustion operator training course.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Dates of completion of the operator training course.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Documentation showing completion of the operator training course.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w:t>
            </w:r>
            <w:r w:rsidRPr="000E6505">
              <w:rPr>
                <w:rFonts w:ascii="Arial" w:eastAsia="Times New Roman" w:hAnsi="Arial" w:cs="Arial"/>
                <w:i/>
                <w:iCs/>
                <w:sz w:val="20"/>
              </w:rPr>
              <w:t>Records of reviews for plant-specific operating manuals.</w:t>
            </w:r>
            <w:r w:rsidRPr="000E6505">
              <w:rPr>
                <w:rFonts w:ascii="Arial" w:eastAsia="Times New Roman" w:hAnsi="Arial" w:cs="Arial"/>
                <w:sz w:val="20"/>
              </w:rPr>
              <w:t xml:space="preserve"> Include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Names of persons who have reviewed the operating manual.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(2) Date of the initial review.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Dates of subsequent annual reviews.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w:t>
            </w:r>
            <w:r w:rsidRPr="000E6505">
              <w:rPr>
                <w:rFonts w:ascii="Arial" w:eastAsia="Times New Roman" w:hAnsi="Arial" w:cs="Arial"/>
                <w:i/>
                <w:iCs/>
                <w:sz w:val="20"/>
              </w:rPr>
              <w:t>Records of when a certified operator is temporarily offsite.</w:t>
            </w:r>
            <w:r w:rsidRPr="000E6505">
              <w:rPr>
                <w:rFonts w:ascii="Arial" w:eastAsia="Times New Roman" w:hAnsi="Arial" w:cs="Arial"/>
                <w:sz w:val="20"/>
              </w:rPr>
              <w:t xml:space="preserve"> Include two main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If the certified chief facility operator and certified shift supervisor are offsite for more than 12 hours, but for 2 weeks or less, and no other certified operator is onsite, record the dates that the certified chief facility operator and certified shift supervisor were offsite.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When the certified chief facility operator and certified shift supervisor are offsite for more than 2 weeks and no other certified operator is onsite, keep records of four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Your notice that all certified persons are offsite.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 The conditions that cause those people to be offsite.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(iii) The corrective actions you are taking to ensure a certified chief facility operator or certified shift supervisor is onsite.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(iv) Copies of the written reports submitted every 4 weeks that summarize the actions taken to ensure that a certified chief facility operator or certified shift supervisor will be onsite.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w:t>
            </w:r>
            <w:r w:rsidRPr="000E6505">
              <w:rPr>
                <w:rFonts w:ascii="Arial" w:eastAsia="Times New Roman" w:hAnsi="Arial" w:cs="Arial"/>
                <w:i/>
                <w:iCs/>
                <w:sz w:val="20"/>
              </w:rPr>
              <w:t>Records of calendar dates.</w:t>
            </w:r>
            <w:r w:rsidRPr="000E6505">
              <w:rPr>
                <w:rFonts w:ascii="Arial" w:eastAsia="Times New Roman" w:hAnsi="Arial" w:cs="Arial"/>
                <w:sz w:val="20"/>
              </w:rPr>
              <w:t xml:space="preserve"> Include the calendar date on each record. </w:t>
            </w:r>
          </w:p>
          <w:p w:rsidR="000E6505" w:rsidRPr="000E6505" w:rsidRDefault="000E6505" w:rsidP="000E6505">
            <w:pPr>
              <w:spacing w:before="200" w:after="100" w:afterAutospacing="1" w:line="240" w:lineRule="auto"/>
              <w:rPr>
                <w:rFonts w:ascii="Arial" w:eastAsia="Times New Roman" w:hAnsi="Arial" w:cs="Arial"/>
                <w:sz w:val="20"/>
              </w:rPr>
            </w:pPr>
            <w:hyperlink r:id="rId205" w:anchor="_top" w:history="1">
              <w:r>
                <w:rPr>
                  <w:rFonts w:ascii="Arial" w:eastAsia="Times New Roman" w:hAnsi="Arial" w:cs="Arial"/>
                  <w:noProof/>
                  <w:color w:val="0000FF"/>
                  <w:sz w:val="17"/>
                  <w:szCs w:val="17"/>
                </w:rPr>
                <w:drawing>
                  <wp:inline distT="0" distB="0" distL="0" distR="0">
                    <wp:extent cx="152400" cy="152400"/>
                    <wp:effectExtent l="0" t="0" r="0" b="0"/>
                    <wp:docPr id="87" name="Picture 8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4" w:name="40:7.0.1.1.1.90.162.73"/>
            <w:bookmarkEnd w:id="84"/>
            <w:r w:rsidRPr="000E6505">
              <w:rPr>
                <w:rFonts w:ascii="Arial" w:eastAsia="Times New Roman" w:hAnsi="Arial" w:cs="Arial"/>
                <w:b/>
                <w:bCs/>
                <w:sz w:val="20"/>
              </w:rPr>
              <w:t>§60.1360   What records must I keep for stack tests?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For stack tests required under §60.1285, you must keep records of four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The results of the stack tests for eight pollutants or parameters recorded in the appropriate units of measure specified in table 1 of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Dioxins/furans.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Cadmium.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Lead.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Mercury.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Opacity.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Particulate matter.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(7) Hydrogen chloride.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(8) Fugitive ash.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(b) Test reports including supporting calculations that document the results of all stack tests.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The maximum demonstrated load of your municipal waste combustion units and maximum temperature at the inlet of your particulate matter control device during all stack tests for dioxins/furans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The calendar date of each record. </w:t>
            </w:r>
          </w:p>
          <w:p w:rsidR="000E6505" w:rsidRPr="000E6505" w:rsidRDefault="000E6505" w:rsidP="000E6505">
            <w:pPr>
              <w:spacing w:before="200" w:after="100" w:afterAutospacing="1" w:line="240" w:lineRule="auto"/>
              <w:rPr>
                <w:rFonts w:ascii="Arial" w:eastAsia="Times New Roman" w:hAnsi="Arial" w:cs="Arial"/>
                <w:sz w:val="20"/>
              </w:rPr>
            </w:pPr>
            <w:hyperlink r:id="rId206" w:anchor="_top" w:history="1">
              <w:r>
                <w:rPr>
                  <w:rFonts w:ascii="Arial" w:eastAsia="Times New Roman" w:hAnsi="Arial" w:cs="Arial"/>
                  <w:noProof/>
                  <w:color w:val="0000FF"/>
                  <w:sz w:val="17"/>
                  <w:szCs w:val="17"/>
                </w:rPr>
                <w:drawing>
                  <wp:inline distT="0" distB="0" distL="0" distR="0">
                    <wp:extent cx="152400" cy="152400"/>
                    <wp:effectExtent l="0" t="0" r="0" b="0"/>
                    <wp:docPr id="88" name="Picture 8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5" w:name="40:7.0.1.1.1.90.162.74"/>
            <w:bookmarkEnd w:id="85"/>
            <w:r w:rsidRPr="000E6505">
              <w:rPr>
                <w:rFonts w:ascii="Arial" w:eastAsia="Times New Roman" w:hAnsi="Arial" w:cs="Arial"/>
                <w:b/>
                <w:bCs/>
                <w:sz w:val="20"/>
              </w:rPr>
              <w:t>§60.1365   What records must I keep for continuously monitored pollutants or parameters?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keep records of eight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t>
            </w:r>
            <w:r w:rsidRPr="000E6505">
              <w:rPr>
                <w:rFonts w:ascii="Arial" w:eastAsia="Times New Roman" w:hAnsi="Arial" w:cs="Arial"/>
                <w:i/>
                <w:iCs/>
                <w:sz w:val="20"/>
              </w:rPr>
              <w:t>Records of monitoring data.</w:t>
            </w:r>
            <w:r w:rsidRPr="000E6505">
              <w:rPr>
                <w:rFonts w:ascii="Arial" w:eastAsia="Times New Roman" w:hAnsi="Arial" w:cs="Arial"/>
                <w:sz w:val="20"/>
              </w:rPr>
              <w:t xml:space="preserve"> Document six parameters measured using continuous monitoring systems: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All 6-minute average levels of opacity.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All 1-hour average concentrations of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For Class I municipal waste combustion units only, all 1-hour average concentrations of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All 1-hour average concentrations of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All 1-hour average load levels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All 1-hour average flue gas temperatures at the inlet of the particulate matter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w:t>
            </w:r>
            <w:r w:rsidRPr="000E6505">
              <w:rPr>
                <w:rFonts w:ascii="Arial" w:eastAsia="Times New Roman" w:hAnsi="Arial" w:cs="Arial"/>
                <w:i/>
                <w:iCs/>
                <w:sz w:val="20"/>
              </w:rPr>
              <w:t>Records of average concentrations and percent reductions.</w:t>
            </w:r>
            <w:r w:rsidRPr="000E6505">
              <w:rPr>
                <w:rFonts w:ascii="Arial" w:eastAsia="Times New Roman" w:hAnsi="Arial" w:cs="Arial"/>
                <w:sz w:val="20"/>
              </w:rPr>
              <w:t xml:space="preserve"> Document five parameters: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All 24-hour daily block geometric average concentrations of sulfur dioxide emissions or average percent reductions of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Class I municipal waste combustion units only, all 24-hour daily arithmetic average concentrations of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All 4-hour block or 24-hour daily </w:t>
            </w:r>
            <w:proofErr w:type="gramStart"/>
            <w:r w:rsidRPr="000E6505">
              <w:rPr>
                <w:rFonts w:ascii="Arial" w:eastAsia="Times New Roman" w:hAnsi="Arial" w:cs="Arial"/>
                <w:sz w:val="20"/>
              </w:rPr>
              <w:t>block</w:t>
            </w:r>
            <w:proofErr w:type="gramEnd"/>
            <w:r w:rsidRPr="000E6505">
              <w:rPr>
                <w:rFonts w:ascii="Arial" w:eastAsia="Times New Roman" w:hAnsi="Arial" w:cs="Arial"/>
                <w:sz w:val="20"/>
              </w:rPr>
              <w:t xml:space="preserve"> arithmetic average concentrations of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All 4-hour block arithmetic average load levels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All 4-hour block arithmetic average flue gas temperatures at the inlet of the particulate matter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w:t>
            </w:r>
            <w:r w:rsidRPr="000E6505">
              <w:rPr>
                <w:rFonts w:ascii="Arial" w:eastAsia="Times New Roman" w:hAnsi="Arial" w:cs="Arial"/>
                <w:i/>
                <w:iCs/>
                <w:sz w:val="20"/>
              </w:rPr>
              <w:t>Records of exceedances.</w:t>
            </w:r>
            <w:r w:rsidRPr="000E6505">
              <w:rPr>
                <w:rFonts w:ascii="Arial" w:eastAsia="Times New Roman" w:hAnsi="Arial" w:cs="Arial"/>
                <w:sz w:val="20"/>
              </w:rPr>
              <w:t xml:space="preserve"> Document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Calendar dates whenever any of the five pollutant or parameter levels recorded in paragraph (b) of this section or the opacity level recorded in paragraph (a)(1) of this section did not meet the emission </w:t>
            </w:r>
            <w:r w:rsidRPr="000E6505">
              <w:rPr>
                <w:rFonts w:ascii="Arial" w:eastAsia="Times New Roman" w:hAnsi="Arial" w:cs="Arial"/>
                <w:sz w:val="20"/>
              </w:rPr>
              <w:lastRenderedPageBreak/>
              <w:t xml:space="preserve">limits or operating levels specified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Reasons you exceeded the applicable emission limits or operating levels.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Corrective actions you took, or are taking, to meet the emission limits or operating levels.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w:t>
            </w:r>
            <w:r w:rsidRPr="000E6505">
              <w:rPr>
                <w:rFonts w:ascii="Arial" w:eastAsia="Times New Roman" w:hAnsi="Arial" w:cs="Arial"/>
                <w:i/>
                <w:iCs/>
                <w:sz w:val="20"/>
              </w:rPr>
              <w:t>Records of minimum data.</w:t>
            </w:r>
            <w:r w:rsidRPr="000E6505">
              <w:rPr>
                <w:rFonts w:ascii="Arial" w:eastAsia="Times New Roman" w:hAnsi="Arial" w:cs="Arial"/>
                <w:sz w:val="20"/>
              </w:rPr>
              <w:t xml:space="preserve"> Document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Calendar dates for which you did not collect the minimum amount of data required under §§60.1260 and 60.1335. Record the dates for five types of pollutants and parameters: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(ii) For Class I municipal waste combustion units only, nitrogen oxides emissions.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(iii)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(iv) Load levels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(v) Temperatures of the flue gases at the inlet of the particulate matter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Reasons you did not collect the minimum data.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Corrective actions you took, or are taking, to obtain the required amount of data.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w:t>
            </w:r>
            <w:r w:rsidRPr="000E6505">
              <w:rPr>
                <w:rFonts w:ascii="Arial" w:eastAsia="Times New Roman" w:hAnsi="Arial" w:cs="Arial"/>
                <w:i/>
                <w:iCs/>
                <w:sz w:val="20"/>
              </w:rPr>
              <w:t>Records of exclusions.</w:t>
            </w:r>
            <w:r w:rsidRPr="000E6505">
              <w:rPr>
                <w:rFonts w:ascii="Arial" w:eastAsia="Times New Roman" w:hAnsi="Arial" w:cs="Arial"/>
                <w:sz w:val="20"/>
              </w:rPr>
              <w:t xml:space="preserve"> Document each time you have excluded data from your calculation of averages for any of the following five pollutants or parameters and the reasons the data were excluded: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Class I municipal waste combustion units only,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Load levels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Temperatures of the flue gases at the inlet of the particulate matter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w:t>
            </w:r>
            <w:r w:rsidRPr="000E6505">
              <w:rPr>
                <w:rFonts w:ascii="Arial" w:eastAsia="Times New Roman" w:hAnsi="Arial" w:cs="Arial"/>
                <w:i/>
                <w:iCs/>
                <w:sz w:val="20"/>
              </w:rPr>
              <w:t>Records of drift and accuracy.</w:t>
            </w:r>
            <w:r w:rsidRPr="000E6505">
              <w:rPr>
                <w:rFonts w:ascii="Arial" w:eastAsia="Times New Roman" w:hAnsi="Arial" w:cs="Arial"/>
                <w:sz w:val="20"/>
              </w:rPr>
              <w:t xml:space="preserve"> Document the results of your daily drift tests and quarterly accuracy determinations according to Procedure 1 of appendix F of this part. Keep the records for the sulfur dioxide, nitrogen oxides (Class I municipal waste combustion units only), and carbon monoxide continuous emissions monitoring systems.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(g) </w:t>
            </w:r>
            <w:r w:rsidRPr="000E6505">
              <w:rPr>
                <w:rFonts w:ascii="Arial" w:eastAsia="Times New Roman" w:hAnsi="Arial" w:cs="Arial"/>
                <w:i/>
                <w:iCs/>
                <w:sz w:val="20"/>
              </w:rPr>
              <w:t>Records of the relationship between oxygen and carbon dioxide.</w:t>
            </w:r>
            <w:r w:rsidRPr="000E6505">
              <w:rPr>
                <w:rFonts w:ascii="Arial" w:eastAsia="Times New Roman" w:hAnsi="Arial" w:cs="Arial"/>
                <w:sz w:val="20"/>
              </w:rPr>
              <w:t xml:space="preserve"> If you choose to monitor carbon dioxide instead of oxygen as a diluent gas, document the relationship between oxygen and carbon dioxide, as specified in §60.1255.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(h) </w:t>
            </w:r>
            <w:r w:rsidRPr="000E6505">
              <w:rPr>
                <w:rFonts w:ascii="Arial" w:eastAsia="Times New Roman" w:hAnsi="Arial" w:cs="Arial"/>
                <w:i/>
                <w:iCs/>
                <w:sz w:val="20"/>
              </w:rPr>
              <w:t>Records of calendar dates.</w:t>
            </w:r>
            <w:r w:rsidRPr="000E6505">
              <w:rPr>
                <w:rFonts w:ascii="Arial" w:eastAsia="Times New Roman" w:hAnsi="Arial" w:cs="Arial"/>
                <w:sz w:val="20"/>
              </w:rPr>
              <w:t xml:space="preserve"> Include the calendar date on each record. </w:t>
            </w:r>
          </w:p>
          <w:p w:rsidR="000E6505" w:rsidRPr="000E6505" w:rsidRDefault="000E6505" w:rsidP="000E6505">
            <w:pPr>
              <w:spacing w:before="200" w:after="100" w:afterAutospacing="1" w:line="240" w:lineRule="auto"/>
              <w:rPr>
                <w:rFonts w:ascii="Arial" w:eastAsia="Times New Roman" w:hAnsi="Arial" w:cs="Arial"/>
                <w:sz w:val="20"/>
              </w:rPr>
            </w:pPr>
            <w:hyperlink r:id="rId207" w:anchor="_top" w:history="1">
              <w:r>
                <w:rPr>
                  <w:rFonts w:ascii="Arial" w:eastAsia="Times New Roman" w:hAnsi="Arial" w:cs="Arial"/>
                  <w:noProof/>
                  <w:color w:val="0000FF"/>
                  <w:sz w:val="17"/>
                  <w:szCs w:val="17"/>
                </w:rPr>
                <w:drawing>
                  <wp:inline distT="0" distB="0" distL="0" distR="0">
                    <wp:extent cx="152400" cy="152400"/>
                    <wp:effectExtent l="0" t="0" r="0" b="0"/>
                    <wp:docPr id="89" name="Picture 8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6" w:name="40:7.0.1.1.1.90.162.75"/>
            <w:bookmarkEnd w:id="86"/>
            <w:r w:rsidRPr="000E6505">
              <w:rPr>
                <w:rFonts w:ascii="Arial" w:eastAsia="Times New Roman" w:hAnsi="Arial" w:cs="Arial"/>
                <w:b/>
                <w:bCs/>
                <w:sz w:val="20"/>
              </w:rPr>
              <w:lastRenderedPageBreak/>
              <w:t>§60.1370   What records must I keep for municipal waste combustion units that use activated carbon?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For municipal waste combustion units that use activated carbon to control dioxins/furans or mercury emissions, you must keep records of five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t>
            </w:r>
            <w:r w:rsidRPr="000E6505">
              <w:rPr>
                <w:rFonts w:ascii="Arial" w:eastAsia="Times New Roman" w:hAnsi="Arial" w:cs="Arial"/>
                <w:i/>
                <w:iCs/>
                <w:sz w:val="20"/>
              </w:rPr>
              <w:t>Records of average carbon feed rate.</w:t>
            </w:r>
            <w:r w:rsidRPr="000E6505">
              <w:rPr>
                <w:rFonts w:ascii="Arial" w:eastAsia="Times New Roman" w:hAnsi="Arial" w:cs="Arial"/>
                <w:sz w:val="20"/>
              </w:rPr>
              <w:t xml:space="preserve"> Document five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Average carbon feed rate in kilograms (or pounds) per hour during all stack tests for dioxins/furans and mercury emissions. Include supporting calculations in the records.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the operating parameter chosen to monitor carbon feed rate, average operating level during all stack tests for dioxins/furans and mercury emissions. Include supporting data that document the relationship between the operating parameter and the carbon feed rate.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All 8-hour block average carbon feed rates in kilograms (or pounds) per hour calculated from the monitored operating parameter.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Total carbon purchased and delivered to the municipal waste combustion plant for each calendar quarter. If you choose to evaluate total carbon purchased and delivered on a municipal waste combustion unit basis, record the total carbon purchased and delivered for each individual municipal waste combustion unit at your plant. Include supporting documentation.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Required quarterly usage of carbon for the municipal waste combustion plant, calculated using equation 4 or 5 in §60.1460(f). If you choose to evaluate required quarterly usage for carbon on a municipal waste combustion unit basis, record the required quarterly usage for each municipal waste combustion unit at your plant. Include supporting calculations.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w:t>
            </w:r>
            <w:r w:rsidRPr="000E6505">
              <w:rPr>
                <w:rFonts w:ascii="Arial" w:eastAsia="Times New Roman" w:hAnsi="Arial" w:cs="Arial"/>
                <w:i/>
                <w:iCs/>
                <w:sz w:val="20"/>
              </w:rPr>
              <w:t>Records of low carbon feed rates.</w:t>
            </w:r>
            <w:r w:rsidRPr="000E6505">
              <w:rPr>
                <w:rFonts w:ascii="Arial" w:eastAsia="Times New Roman" w:hAnsi="Arial" w:cs="Arial"/>
                <w:sz w:val="20"/>
              </w:rPr>
              <w:t xml:space="preserve"> Document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calendar dates when the average carbon feed rate over an 8-hour block was less than the average carbon feed rates determined during the most recent stack test for dioxins/furans or mercury emissions (whichever has a higher feed rate).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Reasons for the low carbon feed rates.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Corrective actions you took or are taking to meet the 8-hour average carbon feed rate requirement.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w:t>
            </w:r>
            <w:r w:rsidRPr="000E6505">
              <w:rPr>
                <w:rFonts w:ascii="Arial" w:eastAsia="Times New Roman" w:hAnsi="Arial" w:cs="Arial"/>
                <w:i/>
                <w:iCs/>
                <w:sz w:val="20"/>
              </w:rPr>
              <w:t>Records of minimum carbon feed rate data.</w:t>
            </w:r>
            <w:r w:rsidRPr="000E6505">
              <w:rPr>
                <w:rFonts w:ascii="Arial" w:eastAsia="Times New Roman" w:hAnsi="Arial" w:cs="Arial"/>
                <w:sz w:val="20"/>
              </w:rPr>
              <w:t xml:space="preserve"> Document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Calendar dates for which you did not collect the minimum amount of carbon feed rate data required under §60.1335.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Reasons you did not collect the minimum data.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Corrective actions you took or are taking to get the required amount of data.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w:t>
            </w:r>
            <w:r w:rsidRPr="000E6505">
              <w:rPr>
                <w:rFonts w:ascii="Arial" w:eastAsia="Times New Roman" w:hAnsi="Arial" w:cs="Arial"/>
                <w:i/>
                <w:iCs/>
                <w:sz w:val="20"/>
              </w:rPr>
              <w:t>Records of exclusions.</w:t>
            </w:r>
            <w:r w:rsidRPr="000E6505">
              <w:rPr>
                <w:rFonts w:ascii="Arial" w:eastAsia="Times New Roman" w:hAnsi="Arial" w:cs="Arial"/>
                <w:sz w:val="20"/>
              </w:rPr>
              <w:t xml:space="preserve"> Document each time you have excluded data from your calculation of average carbon feed rates and the reasons the data were excluded.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(e) </w:t>
            </w:r>
            <w:r w:rsidRPr="000E6505">
              <w:rPr>
                <w:rFonts w:ascii="Arial" w:eastAsia="Times New Roman" w:hAnsi="Arial" w:cs="Arial"/>
                <w:i/>
                <w:iCs/>
                <w:sz w:val="20"/>
              </w:rPr>
              <w:t>Records of calendar dates.</w:t>
            </w:r>
            <w:r w:rsidRPr="000E6505">
              <w:rPr>
                <w:rFonts w:ascii="Arial" w:eastAsia="Times New Roman" w:hAnsi="Arial" w:cs="Arial"/>
                <w:sz w:val="20"/>
              </w:rPr>
              <w:t xml:space="preserve"> Include the calendar date on each record. </w:t>
            </w:r>
          </w:p>
          <w:p w:rsidR="000E6505" w:rsidRPr="000E6505" w:rsidRDefault="000E6505" w:rsidP="000E6505">
            <w:pPr>
              <w:spacing w:before="200" w:after="100" w:afterAutospacing="1" w:line="240" w:lineRule="auto"/>
              <w:rPr>
                <w:rFonts w:ascii="Arial" w:eastAsia="Times New Roman" w:hAnsi="Arial" w:cs="Arial"/>
                <w:sz w:val="20"/>
              </w:rPr>
            </w:pPr>
            <w:hyperlink r:id="rId208" w:anchor="_top" w:history="1">
              <w:r>
                <w:rPr>
                  <w:rFonts w:ascii="Arial" w:eastAsia="Times New Roman" w:hAnsi="Arial" w:cs="Arial"/>
                  <w:noProof/>
                  <w:color w:val="0000FF"/>
                  <w:sz w:val="17"/>
                  <w:szCs w:val="17"/>
                </w:rPr>
                <w:drawing>
                  <wp:inline distT="0" distB="0" distL="0" distR="0">
                    <wp:extent cx="152400" cy="152400"/>
                    <wp:effectExtent l="0" t="0" r="0" b="0"/>
                    <wp:docPr id="90" name="Picture 9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87" w:name="40:7.0.1.1.1.90.163"/>
            <w:bookmarkEnd w:id="87"/>
            <w:r w:rsidRPr="000E6505">
              <w:rPr>
                <w:rFonts w:ascii="Arial" w:eastAsia="Times New Roman" w:hAnsi="Arial" w:cs="Arial"/>
                <w:b/>
                <w:bCs/>
                <w:smallCaps/>
                <w:sz w:val="27"/>
                <w:szCs w:val="27"/>
              </w:rPr>
              <w:t>Reporting</w:t>
            </w:r>
          </w:p>
          <w:p w:rsidR="000E6505" w:rsidRPr="000E6505" w:rsidRDefault="000E6505" w:rsidP="000E6505">
            <w:pPr>
              <w:spacing w:before="200" w:after="100" w:afterAutospacing="1" w:line="240" w:lineRule="auto"/>
              <w:rPr>
                <w:rFonts w:ascii="Arial" w:eastAsia="Times New Roman" w:hAnsi="Arial" w:cs="Arial"/>
                <w:sz w:val="20"/>
              </w:rPr>
            </w:pPr>
            <w:hyperlink r:id="rId209" w:anchor="_top" w:history="1">
              <w:r>
                <w:rPr>
                  <w:rFonts w:ascii="Arial" w:eastAsia="Times New Roman" w:hAnsi="Arial" w:cs="Arial"/>
                  <w:noProof/>
                  <w:color w:val="0000FF"/>
                  <w:sz w:val="17"/>
                  <w:szCs w:val="17"/>
                </w:rPr>
                <w:drawing>
                  <wp:inline distT="0" distB="0" distL="0" distR="0">
                    <wp:extent cx="152400" cy="152400"/>
                    <wp:effectExtent l="0" t="0" r="0" b="0"/>
                    <wp:docPr id="91" name="Picture 9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8" w:name="40:7.0.1.1.1.90.163.76"/>
            <w:bookmarkEnd w:id="88"/>
            <w:r w:rsidRPr="000E6505">
              <w:rPr>
                <w:rFonts w:ascii="Arial" w:eastAsia="Times New Roman" w:hAnsi="Arial" w:cs="Arial"/>
                <w:b/>
                <w:bCs/>
                <w:sz w:val="20"/>
              </w:rPr>
              <w:t>§60.1375   What reports must I submit before I submit my notice of construction?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If you are required to submit an application for a construction permit </w:t>
            </w:r>
            <w:proofErr w:type="gramStart"/>
            <w:r w:rsidRPr="000E6505">
              <w:rPr>
                <w:rFonts w:ascii="Arial" w:eastAsia="Times New Roman" w:hAnsi="Arial" w:cs="Arial"/>
                <w:sz w:val="20"/>
              </w:rPr>
              <w:t>under</w:t>
            </w:r>
            <w:proofErr w:type="gramEnd"/>
            <w:r w:rsidRPr="000E6505">
              <w:rPr>
                <w:rFonts w:ascii="Arial" w:eastAsia="Times New Roman" w:hAnsi="Arial" w:cs="Arial"/>
                <w:sz w:val="20"/>
              </w:rPr>
              <w:t xml:space="preserve"> 40 CFR part 51, subpart I, or 40 CFR part 52, you must submit five items by the date you submit your application.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Your draft materials separation plan, as specified in §60.1065.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Your revised materials separation plan, as specified in §60.1085(c).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Your notice of the initial public meeting for your draft materials separation plan, as specified in §60.1070(b).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A transcript of the initial public meeting, as specified in §60.1080(f).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The document that summarizes your responses to the public comments you received during the initial public comment period, as specified in §60.1085(a).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If you are not required to submit an application for a construction permit </w:t>
            </w:r>
            <w:proofErr w:type="gramStart"/>
            <w:r w:rsidRPr="000E6505">
              <w:rPr>
                <w:rFonts w:ascii="Arial" w:eastAsia="Times New Roman" w:hAnsi="Arial" w:cs="Arial"/>
                <w:sz w:val="20"/>
              </w:rPr>
              <w:t>under</w:t>
            </w:r>
            <w:proofErr w:type="gramEnd"/>
            <w:r w:rsidRPr="000E6505">
              <w:rPr>
                <w:rFonts w:ascii="Arial" w:eastAsia="Times New Roman" w:hAnsi="Arial" w:cs="Arial"/>
                <w:sz w:val="20"/>
              </w:rPr>
              <w:t xml:space="preserve"> 40 CFR part 51, subpart I, or 40 CFR part 52, you must submit the items in paragraph (a) of this section with your notice of construction. </w:t>
            </w:r>
          </w:p>
          <w:p w:rsidR="000E6505" w:rsidRPr="000E6505" w:rsidRDefault="000E6505" w:rsidP="000E6505">
            <w:pPr>
              <w:spacing w:before="200" w:after="100" w:afterAutospacing="1" w:line="240" w:lineRule="auto"/>
              <w:rPr>
                <w:rFonts w:ascii="Arial" w:eastAsia="Times New Roman" w:hAnsi="Arial" w:cs="Arial"/>
                <w:sz w:val="20"/>
              </w:rPr>
            </w:pPr>
            <w:hyperlink r:id="rId210" w:anchor="_top" w:history="1">
              <w:r>
                <w:rPr>
                  <w:rFonts w:ascii="Arial" w:eastAsia="Times New Roman" w:hAnsi="Arial" w:cs="Arial"/>
                  <w:noProof/>
                  <w:color w:val="0000FF"/>
                  <w:sz w:val="17"/>
                  <w:szCs w:val="17"/>
                </w:rPr>
                <w:drawing>
                  <wp:inline distT="0" distB="0" distL="0" distR="0">
                    <wp:extent cx="152400" cy="152400"/>
                    <wp:effectExtent l="0" t="0" r="0" b="0"/>
                    <wp:docPr id="92" name="Picture 9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89" w:name="40:7.0.1.1.1.90.163.77"/>
            <w:bookmarkEnd w:id="89"/>
            <w:r w:rsidRPr="000E6505">
              <w:rPr>
                <w:rFonts w:ascii="Arial" w:eastAsia="Times New Roman" w:hAnsi="Arial" w:cs="Arial"/>
                <w:b/>
                <w:bCs/>
                <w:sz w:val="20"/>
              </w:rPr>
              <w:t>§60.1380   What must I include in my notice of construction?</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Include ten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A statement of your intent to construct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The planned initial startup date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The types of fuels you plan to combust in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The capacity of your municipal waste combustion unit including supporting capacity calculations, as specified in §60.1460(d) and (e).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Your siting analysis, as specified in §60.1125.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Your final materials separation plan, as specified in §60.1100(b).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(7) Your notice of the second public meeting (siting analysis meeting), as specified in §60.1130(b).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(8) A transcript of the second public meeting, as specified in §60.1140(d).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(9) A copy of the document that summarizes your responses to the public comments you received during the second public comment period, as specified in §60.1145(a).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(10) Your final siting analysis, as specified in §60.1145(c).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Submit your notice of construction no later than 30 days after you commence construction, reconstruction, or modification of your municipal waste combustion unit. </w:t>
            </w:r>
          </w:p>
          <w:p w:rsidR="000E6505" w:rsidRPr="000E6505" w:rsidRDefault="000E6505" w:rsidP="000E6505">
            <w:pPr>
              <w:spacing w:before="200" w:after="100" w:afterAutospacing="1" w:line="240" w:lineRule="auto"/>
              <w:rPr>
                <w:rFonts w:ascii="Arial" w:eastAsia="Times New Roman" w:hAnsi="Arial" w:cs="Arial"/>
                <w:sz w:val="20"/>
              </w:rPr>
            </w:pPr>
            <w:hyperlink r:id="rId211" w:anchor="_top" w:history="1">
              <w:r>
                <w:rPr>
                  <w:rFonts w:ascii="Arial" w:eastAsia="Times New Roman" w:hAnsi="Arial" w:cs="Arial"/>
                  <w:noProof/>
                  <w:color w:val="0000FF"/>
                  <w:sz w:val="17"/>
                  <w:szCs w:val="17"/>
                </w:rPr>
                <w:drawing>
                  <wp:inline distT="0" distB="0" distL="0" distR="0">
                    <wp:extent cx="152400" cy="152400"/>
                    <wp:effectExtent l="0" t="0" r="0" b="0"/>
                    <wp:docPr id="93" name="Picture 9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0" w:name="40:7.0.1.1.1.90.163.78"/>
            <w:bookmarkEnd w:id="90"/>
            <w:r w:rsidRPr="000E6505">
              <w:rPr>
                <w:rFonts w:ascii="Arial" w:eastAsia="Times New Roman" w:hAnsi="Arial" w:cs="Arial"/>
                <w:b/>
                <w:bCs/>
                <w:sz w:val="20"/>
              </w:rPr>
              <w:t>§60.1385   What reports must I submit after I submit my notice of construction and in what form?</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Submit an initial report and annual reports, plus semiannual reports for any emission or parameter level that does not meet the limits specified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Submit all reports on paper, postmarked on or before the submittal dates in §§60.1395, 60.1405, and 60.1420. If the Administrator agrees, you may submit electronic reports.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Keep a copy of all reports required by §§60.1400, 60.1410, and 60.1425 onsite for 5 years. </w:t>
            </w:r>
          </w:p>
          <w:p w:rsidR="000E6505" w:rsidRPr="000E6505" w:rsidRDefault="000E6505" w:rsidP="000E6505">
            <w:pPr>
              <w:spacing w:before="200" w:after="100" w:afterAutospacing="1" w:line="240" w:lineRule="auto"/>
              <w:rPr>
                <w:rFonts w:ascii="Arial" w:eastAsia="Times New Roman" w:hAnsi="Arial" w:cs="Arial"/>
                <w:sz w:val="20"/>
              </w:rPr>
            </w:pPr>
            <w:hyperlink r:id="rId212" w:anchor="_top" w:history="1">
              <w:r>
                <w:rPr>
                  <w:rFonts w:ascii="Arial" w:eastAsia="Times New Roman" w:hAnsi="Arial" w:cs="Arial"/>
                  <w:noProof/>
                  <w:color w:val="0000FF"/>
                  <w:sz w:val="17"/>
                  <w:szCs w:val="17"/>
                </w:rPr>
                <w:drawing>
                  <wp:inline distT="0" distB="0" distL="0" distR="0">
                    <wp:extent cx="152400" cy="152400"/>
                    <wp:effectExtent l="0" t="0" r="0" b="0"/>
                    <wp:docPr id="94" name="Picture 9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1" w:name="40:7.0.1.1.1.90.163.79"/>
            <w:bookmarkEnd w:id="91"/>
            <w:r w:rsidRPr="000E6505">
              <w:rPr>
                <w:rFonts w:ascii="Arial" w:eastAsia="Times New Roman" w:hAnsi="Arial" w:cs="Arial"/>
                <w:b/>
                <w:bCs/>
                <w:sz w:val="20"/>
              </w:rPr>
              <w:t>§60.1390   What are the appropriate units of measurement for reporting my data?</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See tables 1 and 2 of this subpart for appropriate units of measurement. </w:t>
            </w:r>
          </w:p>
          <w:p w:rsidR="000E6505" w:rsidRPr="000E6505" w:rsidRDefault="000E6505" w:rsidP="000E6505">
            <w:pPr>
              <w:spacing w:before="200" w:after="100" w:afterAutospacing="1" w:line="240" w:lineRule="auto"/>
              <w:rPr>
                <w:rFonts w:ascii="Arial" w:eastAsia="Times New Roman" w:hAnsi="Arial" w:cs="Arial"/>
                <w:sz w:val="20"/>
              </w:rPr>
            </w:pPr>
            <w:hyperlink r:id="rId213" w:anchor="_top" w:history="1">
              <w:r>
                <w:rPr>
                  <w:rFonts w:ascii="Arial" w:eastAsia="Times New Roman" w:hAnsi="Arial" w:cs="Arial"/>
                  <w:noProof/>
                  <w:color w:val="0000FF"/>
                  <w:sz w:val="17"/>
                  <w:szCs w:val="17"/>
                </w:rPr>
                <w:drawing>
                  <wp:inline distT="0" distB="0" distL="0" distR="0">
                    <wp:extent cx="152400" cy="152400"/>
                    <wp:effectExtent l="0" t="0" r="0" b="0"/>
                    <wp:docPr id="95" name="Picture 9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2" w:name="40:7.0.1.1.1.90.163.80"/>
            <w:bookmarkEnd w:id="92"/>
            <w:r w:rsidRPr="000E6505">
              <w:rPr>
                <w:rFonts w:ascii="Arial" w:eastAsia="Times New Roman" w:hAnsi="Arial" w:cs="Arial"/>
                <w:b/>
                <w:bCs/>
                <w:sz w:val="20"/>
              </w:rPr>
              <w:t>§60.1395   When must I submit the initial report?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As specified in §60.7(c), submit your initial report within 60 days after your municipal waste combustion unit reaches the maximum load level at which it will operate, but no later than 180 days after its initial startup. </w:t>
            </w:r>
          </w:p>
          <w:p w:rsidR="000E6505" w:rsidRPr="000E6505" w:rsidRDefault="000E6505" w:rsidP="000E6505">
            <w:pPr>
              <w:spacing w:before="200" w:after="100" w:afterAutospacing="1" w:line="240" w:lineRule="auto"/>
              <w:rPr>
                <w:rFonts w:ascii="Arial" w:eastAsia="Times New Roman" w:hAnsi="Arial" w:cs="Arial"/>
                <w:sz w:val="20"/>
              </w:rPr>
            </w:pPr>
            <w:hyperlink r:id="rId214" w:anchor="_top" w:history="1">
              <w:r>
                <w:rPr>
                  <w:rFonts w:ascii="Arial" w:eastAsia="Times New Roman" w:hAnsi="Arial" w:cs="Arial"/>
                  <w:noProof/>
                  <w:color w:val="0000FF"/>
                  <w:sz w:val="17"/>
                  <w:szCs w:val="17"/>
                </w:rPr>
                <w:drawing>
                  <wp:inline distT="0" distB="0" distL="0" distR="0">
                    <wp:extent cx="152400" cy="152400"/>
                    <wp:effectExtent l="0" t="0" r="0" b="0"/>
                    <wp:docPr id="96" name="Picture 9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3" w:name="40:7.0.1.1.1.90.163.81"/>
            <w:bookmarkEnd w:id="93"/>
            <w:r w:rsidRPr="000E6505">
              <w:rPr>
                <w:rFonts w:ascii="Arial" w:eastAsia="Times New Roman" w:hAnsi="Arial" w:cs="Arial"/>
                <w:b/>
                <w:bCs/>
                <w:sz w:val="20"/>
              </w:rPr>
              <w:t>§60.1400   What must I include in my initial report?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include seven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The emission levels measured on the date of the initial evaluation of your continuous emission monitoring systems for all of the following five pollutants or parameters as recorded in accordance with §60.1365(b).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24-hour daily geometric average concentration of sulfur dioxide emissions or the 24-hour daily geometric percent reduction of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Class I municipal waste combustion units only, the 24-hour daily arithmetic average </w:t>
            </w:r>
            <w:r w:rsidRPr="000E6505">
              <w:rPr>
                <w:rFonts w:ascii="Arial" w:eastAsia="Times New Roman" w:hAnsi="Arial" w:cs="Arial"/>
                <w:sz w:val="20"/>
              </w:rPr>
              <w:lastRenderedPageBreak/>
              <w:t xml:space="preserve">concentration of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The 4-hour block or 24-hour daily arithmetic average concentration of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The 4-hour block arithmetic average load level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The 4-hour </w:t>
            </w:r>
            <w:proofErr w:type="gramStart"/>
            <w:r w:rsidRPr="000E6505">
              <w:rPr>
                <w:rFonts w:ascii="Arial" w:eastAsia="Times New Roman" w:hAnsi="Arial" w:cs="Arial"/>
                <w:sz w:val="20"/>
              </w:rPr>
              <w:t>block</w:t>
            </w:r>
            <w:proofErr w:type="gramEnd"/>
            <w:r w:rsidRPr="000E6505">
              <w:rPr>
                <w:rFonts w:ascii="Arial" w:eastAsia="Times New Roman" w:hAnsi="Arial" w:cs="Arial"/>
                <w:sz w:val="20"/>
              </w:rPr>
              <w:t xml:space="preserve"> arithmetic average flue gas temperature at the inlet of the particulate matter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The results of the initial stack tests for eight pollutants or parameters (use appropriate units as specified in table 2 of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Dioxins/furans.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Cadmium.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Lead.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Mercury.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Opacity.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Particulate matter.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(7) Hydrogen chloride.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(8) Fugitive ash.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The test report that documents the initial stack tests including supporting calculations.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The initial performance evaluation of your continuous emissions monitoring systems. Use the applicable performance specifications in appendix B of this part in conducting the evaluation.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The maximum demonstrated load of your municipal waste combustion unit and the maximum demonstrated temperature of the flue gases at the inlet of the particulate matter control device. Use values established during your initial stack test for dioxins/furans emissions and include supporting calculations.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(f) If your municipal waste combustion unit uses activated carbon to control dioxins/furans or mercury emissions, the average carbon feed rates that you recorded during the initial stack tests for dioxins/furans and mercury emissions. Include supporting calculations as specified in §60.1370(a</w:t>
            </w:r>
            <w:proofErr w:type="gramStart"/>
            <w:r w:rsidRPr="000E6505">
              <w:rPr>
                <w:rFonts w:ascii="Arial" w:eastAsia="Times New Roman" w:hAnsi="Arial" w:cs="Arial"/>
                <w:sz w:val="20"/>
              </w:rPr>
              <w:t>)(</w:t>
            </w:r>
            <w:proofErr w:type="gramEnd"/>
            <w:r w:rsidRPr="000E6505">
              <w:rPr>
                <w:rFonts w:ascii="Arial" w:eastAsia="Times New Roman" w:hAnsi="Arial" w:cs="Arial"/>
                <w:sz w:val="20"/>
              </w:rPr>
              <w:t xml:space="preserve">1) and (2).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(g) If you choose to monitor carbon dioxide instead of oxygen as a diluent gas, documentation of the relationship between oxygen and carbon dioxide, as specified in §60.1255. </w:t>
            </w:r>
          </w:p>
          <w:p w:rsidR="000E6505" w:rsidRPr="000E6505" w:rsidRDefault="000E6505" w:rsidP="000E6505">
            <w:pPr>
              <w:spacing w:before="200" w:after="100" w:afterAutospacing="1" w:line="240" w:lineRule="auto"/>
              <w:rPr>
                <w:rFonts w:ascii="Arial" w:eastAsia="Times New Roman" w:hAnsi="Arial" w:cs="Arial"/>
                <w:sz w:val="20"/>
              </w:rPr>
            </w:pPr>
            <w:hyperlink r:id="rId215" w:anchor="_top" w:history="1">
              <w:r>
                <w:rPr>
                  <w:rFonts w:ascii="Arial" w:eastAsia="Times New Roman" w:hAnsi="Arial" w:cs="Arial"/>
                  <w:noProof/>
                  <w:color w:val="0000FF"/>
                  <w:sz w:val="17"/>
                  <w:szCs w:val="17"/>
                </w:rPr>
                <w:drawing>
                  <wp:inline distT="0" distB="0" distL="0" distR="0">
                    <wp:extent cx="152400" cy="152400"/>
                    <wp:effectExtent l="0" t="0" r="0" b="0"/>
                    <wp:docPr id="97" name="Picture 9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4" w:name="40:7.0.1.1.1.90.163.82"/>
            <w:bookmarkEnd w:id="94"/>
            <w:r w:rsidRPr="000E6505">
              <w:rPr>
                <w:rFonts w:ascii="Arial" w:eastAsia="Times New Roman" w:hAnsi="Arial" w:cs="Arial"/>
                <w:b/>
                <w:bCs/>
                <w:sz w:val="20"/>
              </w:rPr>
              <w:t>§60.1405   When must I submit the annual report?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Submit the annual report no later than February 1 of each year that follows the calendar year in which you collected the data. If you have an operating permit for any unit under title V of the Clean Air Act (CAA), the permit may require you to submit semiannual reports. Parts 70 and 71 of this chapter contain program requirements for permits. </w:t>
            </w:r>
          </w:p>
          <w:p w:rsidR="000E6505" w:rsidRPr="000E6505" w:rsidRDefault="000E6505" w:rsidP="000E6505">
            <w:pPr>
              <w:spacing w:before="200" w:after="100" w:afterAutospacing="1" w:line="240" w:lineRule="auto"/>
              <w:rPr>
                <w:rFonts w:ascii="Arial" w:eastAsia="Times New Roman" w:hAnsi="Arial" w:cs="Arial"/>
                <w:sz w:val="20"/>
              </w:rPr>
            </w:pPr>
            <w:hyperlink r:id="rId216" w:anchor="_top" w:history="1">
              <w:r>
                <w:rPr>
                  <w:rFonts w:ascii="Arial" w:eastAsia="Times New Roman" w:hAnsi="Arial" w:cs="Arial"/>
                  <w:noProof/>
                  <w:color w:val="0000FF"/>
                  <w:sz w:val="17"/>
                  <w:szCs w:val="17"/>
                </w:rPr>
                <w:drawing>
                  <wp:inline distT="0" distB="0" distL="0" distR="0">
                    <wp:extent cx="152400" cy="152400"/>
                    <wp:effectExtent l="0" t="0" r="0" b="0"/>
                    <wp:docPr id="98" name="Picture 9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5" w:name="40:7.0.1.1.1.90.163.83"/>
            <w:bookmarkEnd w:id="95"/>
            <w:r w:rsidRPr="000E6505">
              <w:rPr>
                <w:rFonts w:ascii="Arial" w:eastAsia="Times New Roman" w:hAnsi="Arial" w:cs="Arial"/>
                <w:b/>
                <w:bCs/>
                <w:sz w:val="20"/>
              </w:rPr>
              <w:t>§60.1410   What must I include in my annual report?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Summarize data collected for all pollutants and parameters regulated under this subpart. Your summary must include twelve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The results of the annual stack test, using appropriate units, for eight pollutants, as recorded under §60.1360(a):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Dioxins/furans.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Cadmium.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Lead.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Mercury.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Particulate matter.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Opacity.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(7) Hydrogen chloride.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(8) Fugitive ash.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A list of the highest average levels recorded, in the appropriate units. List the values for five pollutants or parameters: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Class I municipal waste combustion units only,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Load level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Temperature of the flue gases at the inlet of the particulate matter air pollution control device (4-hour block average).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(c) The highest 6-minute opacity level measured. Base the value on all 6-minute average opacity levels recorded by your continuous opacity monitoring system (§60.1365(a</w:t>
            </w:r>
            <w:proofErr w:type="gramStart"/>
            <w:r w:rsidRPr="000E6505">
              <w:rPr>
                <w:rFonts w:ascii="Arial" w:eastAsia="Times New Roman" w:hAnsi="Arial" w:cs="Arial"/>
                <w:sz w:val="20"/>
              </w:rPr>
              <w:t>)(</w:t>
            </w:r>
            <w:proofErr w:type="gramEnd"/>
            <w:r w:rsidRPr="000E6505">
              <w:rPr>
                <w:rFonts w:ascii="Arial" w:eastAsia="Times New Roman" w:hAnsi="Arial" w:cs="Arial"/>
                <w:sz w:val="20"/>
              </w:rPr>
              <w:t xml:space="preserve">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For municipal waste combustion units that use activated carbon for controlling dioxins/furans or </w:t>
            </w:r>
            <w:r w:rsidRPr="000E6505">
              <w:rPr>
                <w:rFonts w:ascii="Arial" w:eastAsia="Times New Roman" w:hAnsi="Arial" w:cs="Arial"/>
                <w:sz w:val="20"/>
              </w:rPr>
              <w:lastRenderedPageBreak/>
              <w:t xml:space="preserve">mercury emissions, include four records: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average carbon feed rates recorded during the most recent dioxins/furans and mercury stack tests.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The lowest 8-hour block average carbon feed rate recorded during the year.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The total carbon purchased and delivered to the municipal waste combustion plant for each calendar quarter. If you choose to evaluate total carbon purchased and delivered on a municipal waste combustion unit basis, record the total carbon purchased and delivered for each individual municipal waste combustion unit at your plant.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The required quarterly carbon usage of your municipal waste combustion plant calculated using equation 4 or 5 in §60.1460(f). If you choose to evaluate required quarterly usage for carbon on a municipal waste combustion unit basis, record the required quarterly usage for each municipal waste combustion unit at your plant.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The total number of days that you did not obtain the minimum number of hours of data for six pollutants or parameters. Include the reasons you did not obtain the data and corrective actions that you have taken to obtain the data in the future. Include data 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Class I municipal waste combustion units only,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Load level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Temperature of the flue gases at the inlet of the particulate matter air pollution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Carbon feed rate.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The number of hours you have excluded data from the calculation of average levels (include the reasons for excluding it). Include data for six pollutants or parameters: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Class I municipal waste combustion units only,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Load level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Temperature of the flue gases at the inlet of the particulate matter air pollution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Carbon feed rate.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(g) A notice of your intent to begin a reduced stack testing schedule for dioxins/furans emissions during the following calendar year, if you are eligible for alternative scheduling (§60.1305(a) or (b)).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(h) A notice of your intent to begin a reduced stack testing schedule for other pollutants during the following calendar year if you are eligible for alternative scheduling (§60.1305(a)).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A summary of any emission or parameter level that did not meet the limits specified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(j) A summary of the data in paragraphs (a) through (d) of this section from the year preceding the reporting year which gives the Administrator a summary of the performance of the municipal waste combustion unit over a 2-year period.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(k) If you choose to monitor carbon dioxide instead of oxygen as a diluent gas, documentation of the relationship between oxygen and carbon dioxide, as specified in §60.1255.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(l) Documentation of periods when all certified chief facility operators and certified shift supervisors </w:t>
            </w:r>
            <w:proofErr w:type="gramStart"/>
            <w:r w:rsidRPr="000E6505">
              <w:rPr>
                <w:rFonts w:ascii="Arial" w:eastAsia="Times New Roman" w:hAnsi="Arial" w:cs="Arial"/>
                <w:sz w:val="20"/>
              </w:rPr>
              <w:t>are</w:t>
            </w:r>
            <w:proofErr w:type="gramEnd"/>
            <w:r w:rsidRPr="000E6505">
              <w:rPr>
                <w:rFonts w:ascii="Arial" w:eastAsia="Times New Roman" w:hAnsi="Arial" w:cs="Arial"/>
                <w:sz w:val="20"/>
              </w:rPr>
              <w:t xml:space="preserve"> offsite for more than 12 hours. </w:t>
            </w:r>
          </w:p>
          <w:p w:rsidR="000E6505" w:rsidRPr="000E6505" w:rsidRDefault="000E6505" w:rsidP="000E6505">
            <w:pPr>
              <w:spacing w:before="200" w:after="100" w:afterAutospacing="1" w:line="240" w:lineRule="auto"/>
              <w:rPr>
                <w:rFonts w:ascii="Arial" w:eastAsia="Times New Roman" w:hAnsi="Arial" w:cs="Arial"/>
                <w:sz w:val="20"/>
              </w:rPr>
            </w:pPr>
            <w:hyperlink r:id="rId217" w:anchor="_top" w:history="1">
              <w:r>
                <w:rPr>
                  <w:rFonts w:ascii="Arial" w:eastAsia="Times New Roman" w:hAnsi="Arial" w:cs="Arial"/>
                  <w:noProof/>
                  <w:color w:val="0000FF"/>
                  <w:sz w:val="17"/>
                  <w:szCs w:val="17"/>
                </w:rPr>
                <w:drawing>
                  <wp:inline distT="0" distB="0" distL="0" distR="0">
                    <wp:extent cx="152400" cy="152400"/>
                    <wp:effectExtent l="0" t="0" r="0" b="0"/>
                    <wp:docPr id="99" name="Picture 9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6" w:name="40:7.0.1.1.1.90.163.84"/>
            <w:bookmarkEnd w:id="96"/>
            <w:r w:rsidRPr="000E6505">
              <w:rPr>
                <w:rFonts w:ascii="Arial" w:eastAsia="Times New Roman" w:hAnsi="Arial" w:cs="Arial"/>
                <w:b/>
                <w:bCs/>
                <w:sz w:val="20"/>
              </w:rPr>
              <w:t>§60.1415   What must I do if I am out of compliance with the requirements of this subpart?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submit a semiannual report on any recorded emission or parameter level that does not meet the requirements specified in this subpart. </w:t>
            </w:r>
          </w:p>
          <w:p w:rsidR="000E6505" w:rsidRPr="000E6505" w:rsidRDefault="000E6505" w:rsidP="000E6505">
            <w:pPr>
              <w:spacing w:before="200" w:after="100" w:afterAutospacing="1" w:line="240" w:lineRule="auto"/>
              <w:rPr>
                <w:rFonts w:ascii="Arial" w:eastAsia="Times New Roman" w:hAnsi="Arial" w:cs="Arial"/>
                <w:sz w:val="20"/>
              </w:rPr>
            </w:pPr>
            <w:hyperlink r:id="rId218" w:anchor="_top" w:history="1">
              <w:r>
                <w:rPr>
                  <w:rFonts w:ascii="Arial" w:eastAsia="Times New Roman" w:hAnsi="Arial" w:cs="Arial"/>
                  <w:noProof/>
                  <w:color w:val="0000FF"/>
                  <w:sz w:val="17"/>
                  <w:szCs w:val="17"/>
                </w:rPr>
                <w:drawing>
                  <wp:inline distT="0" distB="0" distL="0" distR="0">
                    <wp:extent cx="152400" cy="152400"/>
                    <wp:effectExtent l="0" t="0" r="0" b="0"/>
                    <wp:docPr id="100" name="Picture 10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7" w:name="40:7.0.1.1.1.90.163.85"/>
            <w:bookmarkEnd w:id="97"/>
            <w:r w:rsidRPr="000E6505">
              <w:rPr>
                <w:rFonts w:ascii="Arial" w:eastAsia="Times New Roman" w:hAnsi="Arial" w:cs="Arial"/>
                <w:b/>
                <w:bCs/>
                <w:sz w:val="20"/>
              </w:rPr>
              <w:t>§60.1420   If a semiannual report is required, when must I submit it?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For data collected during the first half of a calendar year, submit your semiannual report by August 1 of that year.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For data you collected during the second half of the calendar year, submit your semiannual report by February 1 of the following year. </w:t>
            </w:r>
          </w:p>
          <w:p w:rsidR="000E6505" w:rsidRPr="000E6505" w:rsidRDefault="000E6505" w:rsidP="000E6505">
            <w:pPr>
              <w:spacing w:before="200" w:after="100" w:afterAutospacing="1" w:line="240" w:lineRule="auto"/>
              <w:rPr>
                <w:rFonts w:ascii="Arial" w:eastAsia="Times New Roman" w:hAnsi="Arial" w:cs="Arial"/>
                <w:sz w:val="20"/>
              </w:rPr>
            </w:pPr>
            <w:hyperlink r:id="rId219" w:anchor="_top" w:history="1">
              <w:r>
                <w:rPr>
                  <w:rFonts w:ascii="Arial" w:eastAsia="Times New Roman" w:hAnsi="Arial" w:cs="Arial"/>
                  <w:noProof/>
                  <w:color w:val="0000FF"/>
                  <w:sz w:val="17"/>
                  <w:szCs w:val="17"/>
                </w:rPr>
                <w:drawing>
                  <wp:inline distT="0" distB="0" distL="0" distR="0">
                    <wp:extent cx="152400" cy="152400"/>
                    <wp:effectExtent l="0" t="0" r="0" b="0"/>
                    <wp:docPr id="101" name="Picture 101"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8" w:name="40:7.0.1.1.1.90.163.86"/>
            <w:bookmarkEnd w:id="98"/>
            <w:r w:rsidRPr="000E6505">
              <w:rPr>
                <w:rFonts w:ascii="Arial" w:eastAsia="Times New Roman" w:hAnsi="Arial" w:cs="Arial"/>
                <w:b/>
                <w:bCs/>
                <w:sz w:val="20"/>
              </w:rPr>
              <w:t>§60.1425   What must I include in the semiannual out-of-compliance reports?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You must include three items in the semiannual report: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For any of the following six pollutants or parameters that exceeded the limits specified in this subpart, include the calendar date they exceeded the limits, the averaged and recorded data for that date, the reasons for exceeding the limits, and your corrective actions: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Concentration or percent reduction of sulfur dioxide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Class I municipal waste combustion units only, concentration of nitrogen oxides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Concentration of carbon monoxide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Load level of your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(5) Temperature of the flue gases at the inlet of your particulate matter air pollution control device.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Average 6-minute opacity level. The data obtained from your continuous opacity monitoring system are not used to determine compliance with the limit on opacity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If the results of your annual stack tests (as recorded in §60.1360(a)) show emissions above the limits specified in table 1 of this subpart for dioxins/furans, cadmium, lead, mercury, particulate matter, opacity, hydrogen chloride, and fugitive ash, include a copy of the test report that documents the emission levels and your corrective actions.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For municipal waste combustion units that apply activated carbon to control dioxins/furans or mercury emissions, include two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Documentation of all dates when the 8-hour block average carbon feed rate (calculated from the carbon injection system operating parameter) is less than the highest carbon feed rate established during the most recent mercury and dioxins/furans stack test (as specified in §60.1370(a)(1)). Include four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w:t>
            </w:r>
            <w:proofErr w:type="gramStart"/>
            <w:r w:rsidRPr="000E6505">
              <w:rPr>
                <w:rFonts w:ascii="Arial" w:eastAsia="Times New Roman" w:hAnsi="Arial" w:cs="Arial"/>
                <w:sz w:val="20"/>
              </w:rPr>
              <w:t>i</w:t>
            </w:r>
            <w:proofErr w:type="gramEnd"/>
            <w:r w:rsidRPr="000E6505">
              <w:rPr>
                <w:rFonts w:ascii="Arial" w:eastAsia="Times New Roman" w:hAnsi="Arial" w:cs="Arial"/>
                <w:sz w:val="20"/>
              </w:rPr>
              <w:t xml:space="preserve">) Eight-hour average carbon feed rate.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 Reasons for occurrences of low carbon feed rates.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(iii) The corrective actions you have taken to meet the carbon feed rate requirement.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(iv) The calendar date.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Documentation of each quarter when total carbon purchased and delivered to the municipal waste combustion plant is less than the total required quarterly usage of carbon. If you choose to evaluate total carbon purchased and delivered on a municipal waste combustion unit basis, record the total carbon purchased and delivered for each individual municipal waste combustion unit at your plant. Include five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Amount of carbon purchased and delivered to the plant.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 Required quarterly usage of carbon.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(iii) Reasons for not meeting the required quarterly usage of carbon.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(iv) The corrective actions you have taken to meet the required quarterly usage of carbon.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(v) The calendar date. </w:t>
            </w:r>
          </w:p>
          <w:p w:rsidR="000E6505" w:rsidRPr="000E6505" w:rsidRDefault="000E6505" w:rsidP="000E6505">
            <w:pPr>
              <w:spacing w:before="200" w:after="100" w:afterAutospacing="1" w:line="240" w:lineRule="auto"/>
              <w:rPr>
                <w:rFonts w:ascii="Arial" w:eastAsia="Times New Roman" w:hAnsi="Arial" w:cs="Arial"/>
                <w:sz w:val="20"/>
              </w:rPr>
            </w:pPr>
            <w:hyperlink r:id="rId220" w:anchor="_top" w:history="1">
              <w:r>
                <w:rPr>
                  <w:rFonts w:ascii="Arial" w:eastAsia="Times New Roman" w:hAnsi="Arial" w:cs="Arial"/>
                  <w:noProof/>
                  <w:color w:val="0000FF"/>
                  <w:sz w:val="17"/>
                  <w:szCs w:val="17"/>
                </w:rPr>
                <w:drawing>
                  <wp:inline distT="0" distB="0" distL="0" distR="0">
                    <wp:extent cx="152400" cy="152400"/>
                    <wp:effectExtent l="0" t="0" r="0" b="0"/>
                    <wp:docPr id="102" name="Picture 102"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99" w:name="40:7.0.1.1.1.90.163.87"/>
            <w:bookmarkEnd w:id="99"/>
            <w:r w:rsidRPr="000E6505">
              <w:rPr>
                <w:rFonts w:ascii="Arial" w:eastAsia="Times New Roman" w:hAnsi="Arial" w:cs="Arial"/>
                <w:b/>
                <w:bCs/>
                <w:sz w:val="20"/>
              </w:rPr>
              <w:t>§60.1430   Can reporting dates be changed?</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If the Administrator agrees, you may change the semiannual or annual reporting dates.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See §60.19(c) for procedures to seek approval to change your reporting date. </w:t>
            </w:r>
          </w:p>
          <w:p w:rsidR="000E6505" w:rsidRPr="000E6505" w:rsidRDefault="000E6505" w:rsidP="000E6505">
            <w:pPr>
              <w:spacing w:before="200" w:after="100" w:afterAutospacing="1" w:line="240" w:lineRule="auto"/>
              <w:rPr>
                <w:rFonts w:ascii="Arial" w:eastAsia="Times New Roman" w:hAnsi="Arial" w:cs="Arial"/>
                <w:sz w:val="20"/>
              </w:rPr>
            </w:pPr>
            <w:hyperlink r:id="rId221" w:anchor="_top" w:history="1">
              <w:r>
                <w:rPr>
                  <w:rFonts w:ascii="Arial" w:eastAsia="Times New Roman" w:hAnsi="Arial" w:cs="Arial"/>
                  <w:noProof/>
                  <w:color w:val="0000FF"/>
                  <w:sz w:val="17"/>
                  <w:szCs w:val="17"/>
                </w:rPr>
                <w:drawing>
                  <wp:inline distT="0" distB="0" distL="0" distR="0">
                    <wp:extent cx="152400" cy="152400"/>
                    <wp:effectExtent l="0" t="0" r="0" b="0"/>
                    <wp:docPr id="103" name="Picture 10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100" w:name="40:7.0.1.1.1.90.164"/>
            <w:bookmarkEnd w:id="100"/>
            <w:r w:rsidRPr="000E6505">
              <w:rPr>
                <w:rFonts w:ascii="Arial" w:eastAsia="Times New Roman" w:hAnsi="Arial" w:cs="Arial"/>
                <w:b/>
                <w:bCs/>
                <w:smallCaps/>
                <w:sz w:val="27"/>
                <w:szCs w:val="27"/>
              </w:rPr>
              <w:lastRenderedPageBreak/>
              <w:t>Air Curtain Incinerators that Burn 100 Percent Yard Waste</w:t>
            </w:r>
          </w:p>
          <w:p w:rsidR="000E6505" w:rsidRPr="000E6505" w:rsidRDefault="000E6505" w:rsidP="000E6505">
            <w:pPr>
              <w:spacing w:before="200" w:after="100" w:afterAutospacing="1" w:line="240" w:lineRule="auto"/>
              <w:rPr>
                <w:rFonts w:ascii="Arial" w:eastAsia="Times New Roman" w:hAnsi="Arial" w:cs="Arial"/>
                <w:sz w:val="20"/>
              </w:rPr>
            </w:pPr>
            <w:hyperlink r:id="rId222" w:anchor="_top" w:history="1">
              <w:r>
                <w:rPr>
                  <w:rFonts w:ascii="Arial" w:eastAsia="Times New Roman" w:hAnsi="Arial" w:cs="Arial"/>
                  <w:noProof/>
                  <w:color w:val="0000FF"/>
                  <w:sz w:val="17"/>
                  <w:szCs w:val="17"/>
                </w:rPr>
                <w:drawing>
                  <wp:inline distT="0" distB="0" distL="0" distR="0">
                    <wp:extent cx="152400" cy="152400"/>
                    <wp:effectExtent l="0" t="0" r="0" b="0"/>
                    <wp:docPr id="104" name="Picture 10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1" w:name="40:7.0.1.1.1.90.164.88"/>
            <w:bookmarkEnd w:id="101"/>
            <w:r w:rsidRPr="000E6505">
              <w:rPr>
                <w:rFonts w:ascii="Arial" w:eastAsia="Times New Roman" w:hAnsi="Arial" w:cs="Arial"/>
                <w:b/>
                <w:bCs/>
                <w:sz w:val="20"/>
              </w:rPr>
              <w:t>§60.1435   What is an air curtain incinerator?</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An air curtain incinerator operates by forcefully projecting a curtain of air across an open chamber or open pit in which combustion occurs. Incinerators of that type can be constructed above or below ground and with or without refractory walls and floor. </w:t>
            </w:r>
          </w:p>
          <w:p w:rsidR="000E6505" w:rsidRPr="000E6505" w:rsidRDefault="000E6505" w:rsidP="000E6505">
            <w:pPr>
              <w:spacing w:before="200" w:after="100" w:afterAutospacing="1" w:line="240" w:lineRule="auto"/>
              <w:rPr>
                <w:rFonts w:ascii="Arial" w:eastAsia="Times New Roman" w:hAnsi="Arial" w:cs="Arial"/>
                <w:sz w:val="20"/>
              </w:rPr>
            </w:pPr>
            <w:hyperlink r:id="rId223" w:anchor="_top" w:history="1">
              <w:r>
                <w:rPr>
                  <w:rFonts w:ascii="Arial" w:eastAsia="Times New Roman" w:hAnsi="Arial" w:cs="Arial"/>
                  <w:noProof/>
                  <w:color w:val="0000FF"/>
                  <w:sz w:val="17"/>
                  <w:szCs w:val="17"/>
                </w:rPr>
                <w:drawing>
                  <wp:inline distT="0" distB="0" distL="0" distR="0">
                    <wp:extent cx="152400" cy="152400"/>
                    <wp:effectExtent l="0" t="0" r="0" b="0"/>
                    <wp:docPr id="105" name="Picture 10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2" w:name="40:7.0.1.1.1.90.164.89"/>
            <w:bookmarkEnd w:id="102"/>
            <w:r w:rsidRPr="000E6505">
              <w:rPr>
                <w:rFonts w:ascii="Arial" w:eastAsia="Times New Roman" w:hAnsi="Arial" w:cs="Arial"/>
                <w:b/>
                <w:bCs/>
                <w:sz w:val="20"/>
              </w:rPr>
              <w:t>§60.1440   What is yard waste?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Yard waste is grass, grass clippings, bushes, shrubs, and clippings from bushes and shrubs. They come from residential, commercial/retail, institutional, or industrial sources as part of maintaining yards or other private or public lands. Yard waste does not include two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Construction, renovation, and demolition wastes that are exempt from the definition of “municipal solid waste” in §60.1465.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Clean wood that is exempt from the definition of “municipal solid waste” in §60.1465. </w:t>
            </w:r>
          </w:p>
          <w:p w:rsidR="000E6505" w:rsidRPr="000E6505" w:rsidRDefault="000E6505" w:rsidP="000E6505">
            <w:pPr>
              <w:spacing w:before="200" w:after="100" w:afterAutospacing="1" w:line="240" w:lineRule="auto"/>
              <w:rPr>
                <w:rFonts w:ascii="Arial" w:eastAsia="Times New Roman" w:hAnsi="Arial" w:cs="Arial"/>
                <w:sz w:val="20"/>
              </w:rPr>
            </w:pPr>
            <w:hyperlink r:id="rId224" w:anchor="_top" w:history="1">
              <w:r>
                <w:rPr>
                  <w:rFonts w:ascii="Arial" w:eastAsia="Times New Roman" w:hAnsi="Arial" w:cs="Arial"/>
                  <w:noProof/>
                  <w:color w:val="0000FF"/>
                  <w:sz w:val="17"/>
                  <w:szCs w:val="17"/>
                </w:rPr>
                <w:drawing>
                  <wp:inline distT="0" distB="0" distL="0" distR="0">
                    <wp:extent cx="152400" cy="152400"/>
                    <wp:effectExtent l="0" t="0" r="0" b="0"/>
                    <wp:docPr id="106" name="Picture 10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3" w:name="40:7.0.1.1.1.90.164.90"/>
            <w:bookmarkEnd w:id="103"/>
            <w:r w:rsidRPr="000E6505">
              <w:rPr>
                <w:rFonts w:ascii="Arial" w:eastAsia="Times New Roman" w:hAnsi="Arial" w:cs="Arial"/>
                <w:b/>
                <w:bCs/>
                <w:sz w:val="20"/>
              </w:rPr>
              <w:t>§60.1445   What are the emission limits for air curtain incinerators that burn 100 percent yard waste?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If your air curtain incinerator combusts 100 percent yard waste, you must meet only the emission limits in this section.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Within 60 days after your air curtain incinerator reaches the maximum load level at which it will operate, but no later than 180 days after its initial startup, you must meet two limits: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opacity limit is 10 percent (6-minute average) for air curtain incinerators that can combust at least 35 tons per day of municipal solid waste and no more than 250 tons per day of municipal solid waste.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The opacity limit is 35 percent (6-minute average) during the startup period that is within the first 30 minutes of operation.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Except during malfunctions, the requirements of this subpart apply at all times. Each malfunction must not exceed 3 hours. </w:t>
            </w:r>
          </w:p>
          <w:p w:rsidR="000E6505" w:rsidRPr="000E6505" w:rsidRDefault="000E6505" w:rsidP="000E6505">
            <w:pPr>
              <w:spacing w:before="200" w:after="100" w:afterAutospacing="1" w:line="240" w:lineRule="auto"/>
              <w:rPr>
                <w:rFonts w:ascii="Arial" w:eastAsia="Times New Roman" w:hAnsi="Arial" w:cs="Arial"/>
                <w:sz w:val="20"/>
              </w:rPr>
            </w:pPr>
            <w:hyperlink r:id="rId225" w:anchor="_top" w:history="1">
              <w:r>
                <w:rPr>
                  <w:rFonts w:ascii="Arial" w:eastAsia="Times New Roman" w:hAnsi="Arial" w:cs="Arial"/>
                  <w:noProof/>
                  <w:color w:val="0000FF"/>
                  <w:sz w:val="17"/>
                  <w:szCs w:val="17"/>
                </w:rPr>
                <w:drawing>
                  <wp:inline distT="0" distB="0" distL="0" distR="0">
                    <wp:extent cx="152400" cy="152400"/>
                    <wp:effectExtent l="0" t="0" r="0" b="0"/>
                    <wp:docPr id="107" name="Picture 10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4" w:name="40:7.0.1.1.1.90.164.91"/>
            <w:bookmarkEnd w:id="104"/>
            <w:r w:rsidRPr="000E6505">
              <w:rPr>
                <w:rFonts w:ascii="Arial" w:eastAsia="Times New Roman" w:hAnsi="Arial" w:cs="Arial"/>
                <w:b/>
                <w:bCs/>
                <w:sz w:val="20"/>
              </w:rPr>
              <w:t>§60.1450   How must I monitor opacity for air curtain incinerators that burn 100 percent yard waste?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Use EPA Reference Method 9 in appendix A of this part to determine compliance with the </w:t>
            </w:r>
            <w:r w:rsidRPr="000E6505">
              <w:rPr>
                <w:rFonts w:ascii="Arial" w:eastAsia="Times New Roman" w:hAnsi="Arial" w:cs="Arial"/>
                <w:sz w:val="20"/>
              </w:rPr>
              <w:lastRenderedPageBreak/>
              <w:t xml:space="preserve">opacity limit.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Conduct an initial test for opacity as specified in §60.8.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After the initial test for opacity, conduct annual tests no more than 13 calendar months following the date of your previous test. </w:t>
            </w:r>
          </w:p>
          <w:p w:rsidR="000E6505" w:rsidRPr="000E6505" w:rsidRDefault="000E6505" w:rsidP="000E6505">
            <w:pPr>
              <w:spacing w:before="200" w:after="100" w:afterAutospacing="1" w:line="240" w:lineRule="auto"/>
              <w:rPr>
                <w:rFonts w:ascii="Arial" w:eastAsia="Times New Roman" w:hAnsi="Arial" w:cs="Arial"/>
                <w:sz w:val="20"/>
              </w:rPr>
            </w:pPr>
            <w:hyperlink r:id="rId226" w:anchor="_top" w:history="1">
              <w:r>
                <w:rPr>
                  <w:rFonts w:ascii="Arial" w:eastAsia="Times New Roman" w:hAnsi="Arial" w:cs="Arial"/>
                  <w:noProof/>
                  <w:color w:val="0000FF"/>
                  <w:sz w:val="17"/>
                  <w:szCs w:val="17"/>
                </w:rPr>
                <w:drawing>
                  <wp:inline distT="0" distB="0" distL="0" distR="0">
                    <wp:extent cx="152400" cy="152400"/>
                    <wp:effectExtent l="0" t="0" r="0" b="0"/>
                    <wp:docPr id="108" name="Picture 10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5" w:name="40:7.0.1.1.1.90.164.92"/>
            <w:bookmarkEnd w:id="105"/>
            <w:r w:rsidRPr="000E6505">
              <w:rPr>
                <w:rFonts w:ascii="Arial" w:eastAsia="Times New Roman" w:hAnsi="Arial" w:cs="Arial"/>
                <w:b/>
                <w:bCs/>
                <w:sz w:val="20"/>
              </w:rPr>
              <w:t>§60.1455   What are the recordkeeping and reporting requirements for air curtain incinerators that burn 100 percent yard waste?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Provide a notice of construction that includes four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Your intent to construct the air curtain incinerator.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Your planned initial startup date.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Types of fuels you plan to combust in your air curtain incinerator.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The capacity of your incinerator, including supporting capacity calculations, as specified in §60.1460(d) and (e).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Keep records of results of all opacity tests onsite in either paper copy or electronic format unless the Administrator approves another format.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Keep all records for each incinerator for at least 5 years.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Make all records available for submittal to the Administrator or for onsite review by an inspector.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Submit the results (each 6-minute average) of the opacity tests by February 1 of the year following the year of the opacity emission test.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Submit reports as a paper copy on or before the applicable submittal date. If the Administrator agrees, you may submit reports on electronic media.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(g) If the Administrator agrees, you may change the annual reporting dates (see §60.19(c)).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(h) Keep a copy of all reports onsite for a period of 5 years. </w:t>
            </w:r>
          </w:p>
          <w:p w:rsidR="000E6505" w:rsidRPr="000E6505" w:rsidRDefault="000E6505" w:rsidP="000E6505">
            <w:pPr>
              <w:spacing w:before="200" w:after="100" w:afterAutospacing="1" w:line="240" w:lineRule="auto"/>
              <w:rPr>
                <w:rFonts w:ascii="Arial" w:eastAsia="Times New Roman" w:hAnsi="Arial" w:cs="Arial"/>
                <w:sz w:val="20"/>
              </w:rPr>
            </w:pPr>
            <w:hyperlink r:id="rId227" w:anchor="_top" w:history="1">
              <w:r>
                <w:rPr>
                  <w:rFonts w:ascii="Arial" w:eastAsia="Times New Roman" w:hAnsi="Arial" w:cs="Arial"/>
                  <w:noProof/>
                  <w:color w:val="0000FF"/>
                  <w:sz w:val="17"/>
                  <w:szCs w:val="17"/>
                </w:rPr>
                <w:drawing>
                  <wp:inline distT="0" distB="0" distL="0" distR="0">
                    <wp:extent cx="152400" cy="152400"/>
                    <wp:effectExtent l="0" t="0" r="0" b="0"/>
                    <wp:docPr id="109" name="Picture 10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106" w:name="40:7.0.1.1.1.90.165"/>
            <w:bookmarkEnd w:id="106"/>
            <w:r w:rsidRPr="000E6505">
              <w:rPr>
                <w:rFonts w:ascii="Arial" w:eastAsia="Times New Roman" w:hAnsi="Arial" w:cs="Arial"/>
                <w:b/>
                <w:bCs/>
                <w:smallCaps/>
                <w:sz w:val="27"/>
                <w:szCs w:val="27"/>
              </w:rPr>
              <w:t>Equations</w:t>
            </w:r>
          </w:p>
          <w:p w:rsidR="000E6505" w:rsidRPr="000E6505" w:rsidRDefault="000E6505" w:rsidP="000E6505">
            <w:pPr>
              <w:spacing w:before="200" w:after="100" w:afterAutospacing="1" w:line="240" w:lineRule="auto"/>
              <w:rPr>
                <w:rFonts w:ascii="Arial" w:eastAsia="Times New Roman" w:hAnsi="Arial" w:cs="Arial"/>
                <w:sz w:val="20"/>
              </w:rPr>
            </w:pPr>
            <w:hyperlink r:id="rId228" w:anchor="_top" w:history="1">
              <w:r>
                <w:rPr>
                  <w:rFonts w:ascii="Arial" w:eastAsia="Times New Roman" w:hAnsi="Arial" w:cs="Arial"/>
                  <w:noProof/>
                  <w:color w:val="0000FF"/>
                  <w:sz w:val="17"/>
                  <w:szCs w:val="17"/>
                </w:rPr>
                <w:drawing>
                  <wp:inline distT="0" distB="0" distL="0" distR="0">
                    <wp:extent cx="152400" cy="152400"/>
                    <wp:effectExtent l="0" t="0" r="0" b="0"/>
                    <wp:docPr id="110" name="Picture 11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7" w:name="40:7.0.1.1.1.90.165.93"/>
            <w:bookmarkEnd w:id="107"/>
            <w:r w:rsidRPr="000E6505">
              <w:rPr>
                <w:rFonts w:ascii="Arial" w:eastAsia="Times New Roman" w:hAnsi="Arial" w:cs="Arial"/>
                <w:b/>
                <w:bCs/>
                <w:sz w:val="20"/>
              </w:rPr>
              <w:t>§60.1460   What equations must I use?</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(a) </w:t>
            </w:r>
            <w:r w:rsidRPr="000E6505">
              <w:rPr>
                <w:rFonts w:ascii="Arial" w:eastAsia="Times New Roman" w:hAnsi="Arial" w:cs="Arial"/>
                <w:i/>
                <w:iCs/>
                <w:sz w:val="20"/>
              </w:rPr>
              <w:t>Concentration correction to 7 percent oxygen.</w:t>
            </w:r>
            <w:r w:rsidRPr="000E6505">
              <w:rPr>
                <w:rFonts w:ascii="Arial" w:eastAsia="Times New Roman" w:hAnsi="Arial" w:cs="Arial"/>
                <w:sz w:val="20"/>
              </w:rPr>
              <w:t xml:space="preserve"> Correct any pollutant concentration to 7 percent oxygen using equation 1 of this section:</w:t>
            </w:r>
          </w:p>
          <w:p w:rsidR="000E6505" w:rsidRPr="000E6505" w:rsidRDefault="000E6505" w:rsidP="000E6505">
            <w:pPr>
              <w:spacing w:before="200" w:after="100" w:line="240" w:lineRule="auto"/>
              <w:ind w:left="960" w:hanging="960"/>
              <w:rPr>
                <w:rFonts w:ascii="Arial" w:eastAsia="Times New Roman" w:hAnsi="Arial" w:cs="Arial"/>
                <w:sz w:val="20"/>
              </w:rPr>
            </w:pPr>
            <w:r w:rsidRPr="000E6505">
              <w:rPr>
                <w:rFonts w:ascii="Arial" w:eastAsia="Times New Roman" w:hAnsi="Arial" w:cs="Arial"/>
                <w:sz w:val="20"/>
              </w:rPr>
              <w:lastRenderedPageBreak/>
              <w:t>C</w:t>
            </w:r>
            <w:r w:rsidRPr="000E6505">
              <w:rPr>
                <w:rFonts w:ascii="Arial" w:eastAsia="Times New Roman" w:hAnsi="Arial" w:cs="Arial"/>
                <w:sz w:val="14"/>
                <w:szCs w:val="14"/>
                <w:vertAlign w:val="subscript"/>
              </w:rPr>
              <w:t>7%</w:t>
            </w:r>
            <w:r w:rsidRPr="000E6505">
              <w:rPr>
                <w:rFonts w:ascii="Arial" w:eastAsia="Times New Roman" w:hAnsi="Arial" w:cs="Arial"/>
                <w:sz w:val="20"/>
              </w:rPr>
              <w:t xml:space="preserve"> = C</w:t>
            </w:r>
            <w:r w:rsidRPr="000E6505">
              <w:rPr>
                <w:rFonts w:ascii="Arial" w:eastAsia="Times New Roman" w:hAnsi="Arial" w:cs="Arial"/>
                <w:sz w:val="14"/>
                <w:szCs w:val="14"/>
                <w:vertAlign w:val="subscript"/>
              </w:rPr>
              <w:t>unc</w:t>
            </w:r>
            <w:r w:rsidRPr="000E6505">
              <w:rPr>
                <w:rFonts w:ascii="Arial" w:eastAsia="Times New Roman" w:hAnsi="Arial" w:cs="Arial"/>
                <w:sz w:val="20"/>
              </w:rPr>
              <w:t xml:space="preserve"> * (13.9) * (1/(20.9−CO</w:t>
            </w:r>
            <w:r w:rsidRPr="000E6505">
              <w:rPr>
                <w:rFonts w:ascii="Arial" w:eastAsia="Times New Roman" w:hAnsi="Arial" w:cs="Arial"/>
                <w:sz w:val="14"/>
                <w:szCs w:val="14"/>
                <w:vertAlign w:val="subscript"/>
              </w:rPr>
              <w:t>2</w:t>
            </w:r>
            <w:r w:rsidRPr="000E6505">
              <w:rPr>
                <w:rFonts w:ascii="Arial" w:eastAsia="Times New Roman" w:hAnsi="Arial" w:cs="Arial"/>
                <w:sz w:val="20"/>
              </w:rPr>
              <w:t>)) (Eq.1)</w:t>
            </w:r>
          </w:p>
          <w:p w:rsidR="000E6505" w:rsidRPr="000E6505" w:rsidRDefault="000E6505" w:rsidP="000E6505">
            <w:pPr>
              <w:spacing w:before="200" w:after="100" w:afterAutospacing="1" w:line="240" w:lineRule="auto"/>
              <w:rPr>
                <w:rFonts w:ascii="Arial" w:eastAsia="Times New Roman" w:hAnsi="Arial" w:cs="Arial"/>
                <w:sz w:val="18"/>
                <w:szCs w:val="18"/>
              </w:rPr>
            </w:pPr>
            <w:r w:rsidRPr="000E6505">
              <w:rPr>
                <w:rFonts w:ascii="Arial" w:eastAsia="Times New Roman" w:hAnsi="Arial" w:cs="Arial"/>
                <w:sz w:val="18"/>
                <w:szCs w:val="18"/>
              </w:rPr>
              <w:t>Where:</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C</w:t>
            </w:r>
            <w:r w:rsidRPr="000E6505">
              <w:rPr>
                <w:rFonts w:ascii="Arial" w:eastAsia="Times New Roman" w:hAnsi="Arial" w:cs="Arial"/>
                <w:sz w:val="13"/>
                <w:szCs w:val="13"/>
                <w:vertAlign w:val="subscript"/>
              </w:rPr>
              <w:t>7%</w:t>
            </w:r>
            <w:r w:rsidRPr="000E6505">
              <w:rPr>
                <w:rFonts w:ascii="Arial" w:eastAsia="Times New Roman" w:hAnsi="Arial" w:cs="Arial"/>
                <w:sz w:val="18"/>
                <w:szCs w:val="18"/>
              </w:rPr>
              <w:t xml:space="preserve"> = concentration corrected to 7 percent oxygen.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C</w:t>
            </w:r>
            <w:r w:rsidRPr="000E6505">
              <w:rPr>
                <w:rFonts w:ascii="Arial" w:eastAsia="Times New Roman" w:hAnsi="Arial" w:cs="Arial"/>
                <w:sz w:val="13"/>
                <w:szCs w:val="13"/>
                <w:vertAlign w:val="subscript"/>
              </w:rPr>
              <w:t>unc</w:t>
            </w:r>
            <w:r w:rsidRPr="000E6505">
              <w:rPr>
                <w:rFonts w:ascii="Arial" w:eastAsia="Times New Roman" w:hAnsi="Arial" w:cs="Arial"/>
                <w:sz w:val="18"/>
                <w:szCs w:val="18"/>
              </w:rPr>
              <w:t xml:space="preserve"> = uncorrected pollutant concentration.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CO</w:t>
            </w:r>
            <w:r w:rsidRPr="000E6505">
              <w:rPr>
                <w:rFonts w:ascii="Arial" w:eastAsia="Times New Roman" w:hAnsi="Arial" w:cs="Arial"/>
                <w:sz w:val="13"/>
                <w:szCs w:val="13"/>
                <w:vertAlign w:val="subscript"/>
              </w:rPr>
              <w:t>2</w:t>
            </w:r>
            <w:r w:rsidRPr="000E6505">
              <w:rPr>
                <w:rFonts w:ascii="Arial" w:eastAsia="Times New Roman" w:hAnsi="Arial" w:cs="Arial"/>
                <w:sz w:val="18"/>
                <w:szCs w:val="18"/>
              </w:rPr>
              <w:t xml:space="preserve"> = concentration of oxygen (percent).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(b) </w:t>
            </w:r>
            <w:r w:rsidRPr="000E6505">
              <w:rPr>
                <w:rFonts w:ascii="Arial" w:eastAsia="Times New Roman" w:hAnsi="Arial" w:cs="Arial"/>
                <w:i/>
                <w:iCs/>
                <w:sz w:val="20"/>
              </w:rPr>
              <w:t>Percent reduction in potential mercury emissions.</w:t>
            </w:r>
            <w:r w:rsidRPr="000E6505">
              <w:rPr>
                <w:rFonts w:ascii="Arial" w:eastAsia="Times New Roman" w:hAnsi="Arial" w:cs="Arial"/>
                <w:sz w:val="20"/>
              </w:rPr>
              <w:t xml:space="preserve"> Calculate the percent reduction in potential mercury emissions (%P</w:t>
            </w:r>
            <w:r w:rsidRPr="000E6505">
              <w:rPr>
                <w:rFonts w:ascii="Arial" w:eastAsia="Times New Roman" w:hAnsi="Arial" w:cs="Arial"/>
                <w:sz w:val="14"/>
                <w:szCs w:val="14"/>
                <w:vertAlign w:val="subscript"/>
              </w:rPr>
              <w:t>Hg</w:t>
            </w:r>
            <w:r w:rsidRPr="000E6505">
              <w:rPr>
                <w:rFonts w:ascii="Arial" w:eastAsia="Times New Roman" w:hAnsi="Arial" w:cs="Arial"/>
                <w:sz w:val="20"/>
              </w:rPr>
              <w:t>) using equation 2 of this section:</w:t>
            </w:r>
          </w:p>
          <w:p w:rsidR="000E6505" w:rsidRPr="000E6505" w:rsidRDefault="000E6505" w:rsidP="000E6505">
            <w:pPr>
              <w:spacing w:before="200" w:after="100" w:line="240" w:lineRule="auto"/>
              <w:ind w:left="960" w:hanging="960"/>
              <w:rPr>
                <w:rFonts w:ascii="Arial" w:eastAsia="Times New Roman" w:hAnsi="Arial" w:cs="Arial"/>
                <w:sz w:val="20"/>
              </w:rPr>
            </w:pPr>
            <w:r w:rsidRPr="000E6505">
              <w:rPr>
                <w:rFonts w:ascii="Arial" w:eastAsia="Times New Roman" w:hAnsi="Arial" w:cs="Arial"/>
                <w:sz w:val="20"/>
              </w:rPr>
              <w:t>%P</w:t>
            </w:r>
            <w:r w:rsidRPr="000E6505">
              <w:rPr>
                <w:rFonts w:ascii="Arial" w:eastAsia="Times New Roman" w:hAnsi="Arial" w:cs="Arial"/>
                <w:sz w:val="14"/>
                <w:szCs w:val="14"/>
                <w:vertAlign w:val="subscript"/>
              </w:rPr>
              <w:t>Hg</w:t>
            </w:r>
            <w:r w:rsidRPr="000E6505">
              <w:rPr>
                <w:rFonts w:ascii="Arial" w:eastAsia="Times New Roman" w:hAnsi="Arial" w:cs="Arial"/>
                <w:sz w:val="20"/>
              </w:rPr>
              <w:t xml:space="preserve"> = (E</w:t>
            </w:r>
            <w:r w:rsidRPr="000E6505">
              <w:rPr>
                <w:rFonts w:ascii="Arial" w:eastAsia="Times New Roman" w:hAnsi="Arial" w:cs="Arial"/>
                <w:sz w:val="14"/>
                <w:szCs w:val="14"/>
                <w:vertAlign w:val="subscript"/>
              </w:rPr>
              <w:t>i−o</w:t>
            </w:r>
            <w:r w:rsidRPr="000E6505">
              <w:rPr>
                <w:rFonts w:ascii="Arial" w:eastAsia="Times New Roman" w:hAnsi="Arial" w:cs="Arial"/>
                <w:sz w:val="20"/>
              </w:rPr>
              <w:t>) * (100/E</w:t>
            </w:r>
            <w:r w:rsidRPr="000E6505">
              <w:rPr>
                <w:rFonts w:ascii="Arial" w:eastAsia="Times New Roman" w:hAnsi="Arial" w:cs="Arial"/>
                <w:sz w:val="14"/>
                <w:szCs w:val="14"/>
                <w:vertAlign w:val="subscript"/>
              </w:rPr>
              <w:t>i</w:t>
            </w:r>
            <w:r w:rsidRPr="000E6505">
              <w:rPr>
                <w:rFonts w:ascii="Arial" w:eastAsia="Times New Roman" w:hAnsi="Arial" w:cs="Arial"/>
                <w:sz w:val="20"/>
              </w:rPr>
              <w:t>) (Eq. 2)</w:t>
            </w:r>
          </w:p>
          <w:p w:rsidR="000E6505" w:rsidRPr="000E6505" w:rsidRDefault="000E6505" w:rsidP="000E6505">
            <w:pPr>
              <w:spacing w:before="200" w:after="100" w:afterAutospacing="1" w:line="240" w:lineRule="auto"/>
              <w:rPr>
                <w:rFonts w:ascii="Arial" w:eastAsia="Times New Roman" w:hAnsi="Arial" w:cs="Arial"/>
                <w:sz w:val="18"/>
                <w:szCs w:val="18"/>
              </w:rPr>
            </w:pPr>
            <w:r w:rsidRPr="000E6505">
              <w:rPr>
                <w:rFonts w:ascii="Arial" w:eastAsia="Times New Roman" w:hAnsi="Arial" w:cs="Arial"/>
                <w:sz w:val="18"/>
                <w:szCs w:val="18"/>
              </w:rPr>
              <w:t>Where:</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%P</w:t>
            </w:r>
            <w:r w:rsidRPr="000E6505">
              <w:rPr>
                <w:rFonts w:ascii="Arial" w:eastAsia="Times New Roman" w:hAnsi="Arial" w:cs="Arial"/>
                <w:sz w:val="13"/>
                <w:szCs w:val="13"/>
                <w:vertAlign w:val="subscript"/>
              </w:rPr>
              <w:t>Hg</w:t>
            </w:r>
            <w:r w:rsidRPr="000E6505">
              <w:rPr>
                <w:rFonts w:ascii="Arial" w:eastAsia="Times New Roman" w:hAnsi="Arial" w:cs="Arial"/>
                <w:sz w:val="18"/>
                <w:szCs w:val="18"/>
              </w:rPr>
              <w:t xml:space="preserve"> = percent reduction of potential mercury emissions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E</w:t>
            </w:r>
            <w:r w:rsidRPr="000E6505">
              <w:rPr>
                <w:rFonts w:ascii="Arial" w:eastAsia="Times New Roman" w:hAnsi="Arial" w:cs="Arial"/>
                <w:sz w:val="13"/>
                <w:szCs w:val="13"/>
                <w:vertAlign w:val="subscript"/>
              </w:rPr>
              <w:t>i</w:t>
            </w:r>
            <w:r w:rsidRPr="000E6505">
              <w:rPr>
                <w:rFonts w:ascii="Arial" w:eastAsia="Times New Roman" w:hAnsi="Arial" w:cs="Arial"/>
                <w:sz w:val="18"/>
                <w:szCs w:val="18"/>
              </w:rPr>
              <w:t xml:space="preserve"> = mercury emission concentration as measured at the air pollution control device inlet, corrected to 7 percent oxygen, dry basis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E</w:t>
            </w:r>
            <w:r w:rsidRPr="000E6505">
              <w:rPr>
                <w:rFonts w:ascii="Arial" w:eastAsia="Times New Roman" w:hAnsi="Arial" w:cs="Arial"/>
                <w:sz w:val="13"/>
                <w:szCs w:val="13"/>
                <w:vertAlign w:val="subscript"/>
              </w:rPr>
              <w:t>o</w:t>
            </w:r>
            <w:r w:rsidRPr="000E6505">
              <w:rPr>
                <w:rFonts w:ascii="Arial" w:eastAsia="Times New Roman" w:hAnsi="Arial" w:cs="Arial"/>
                <w:sz w:val="18"/>
                <w:szCs w:val="18"/>
              </w:rPr>
              <w:t xml:space="preserve"> = mercury emission concentration as measured at the air pollution control device outlet, corrected to 7 percent oxygen, dry basis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(c) </w:t>
            </w:r>
            <w:r w:rsidRPr="000E6505">
              <w:rPr>
                <w:rFonts w:ascii="Arial" w:eastAsia="Times New Roman" w:hAnsi="Arial" w:cs="Arial"/>
                <w:i/>
                <w:iCs/>
                <w:sz w:val="20"/>
              </w:rPr>
              <w:t>Percent reduction in potential hydrogen chloride emissions.</w:t>
            </w:r>
            <w:r w:rsidRPr="000E6505">
              <w:rPr>
                <w:rFonts w:ascii="Arial" w:eastAsia="Times New Roman" w:hAnsi="Arial" w:cs="Arial"/>
                <w:sz w:val="20"/>
              </w:rPr>
              <w:t xml:space="preserve"> Calculate the percent reduction in potential hydrogen chloride emissions (%P</w:t>
            </w:r>
            <w:r w:rsidRPr="000E6505">
              <w:rPr>
                <w:rFonts w:ascii="Arial" w:eastAsia="Times New Roman" w:hAnsi="Arial" w:cs="Arial"/>
                <w:sz w:val="14"/>
                <w:szCs w:val="14"/>
                <w:vertAlign w:val="subscript"/>
              </w:rPr>
              <w:t>HC1</w:t>
            </w:r>
            <w:r w:rsidRPr="000E6505">
              <w:rPr>
                <w:rFonts w:ascii="Arial" w:eastAsia="Times New Roman" w:hAnsi="Arial" w:cs="Arial"/>
                <w:sz w:val="20"/>
              </w:rPr>
              <w:t>) using equation 3 of this section:</w:t>
            </w:r>
          </w:p>
          <w:p w:rsidR="000E6505" w:rsidRPr="000E6505" w:rsidRDefault="000E6505" w:rsidP="000E6505">
            <w:pPr>
              <w:spacing w:before="200" w:after="100" w:line="240" w:lineRule="auto"/>
              <w:ind w:left="960" w:hanging="960"/>
              <w:rPr>
                <w:rFonts w:ascii="Arial" w:eastAsia="Times New Roman" w:hAnsi="Arial" w:cs="Arial"/>
                <w:sz w:val="20"/>
              </w:rPr>
            </w:pPr>
            <w:r w:rsidRPr="000E6505">
              <w:rPr>
                <w:rFonts w:ascii="Arial" w:eastAsia="Times New Roman" w:hAnsi="Arial" w:cs="Arial"/>
                <w:sz w:val="20"/>
              </w:rPr>
              <w:t>%P</w:t>
            </w:r>
            <w:r w:rsidRPr="000E6505">
              <w:rPr>
                <w:rFonts w:ascii="Arial" w:eastAsia="Times New Roman" w:hAnsi="Arial" w:cs="Arial"/>
                <w:sz w:val="14"/>
                <w:szCs w:val="14"/>
                <w:vertAlign w:val="subscript"/>
              </w:rPr>
              <w:t>HC1</w:t>
            </w:r>
            <w:r w:rsidRPr="000E6505">
              <w:rPr>
                <w:rFonts w:ascii="Arial" w:eastAsia="Times New Roman" w:hAnsi="Arial" w:cs="Arial"/>
                <w:sz w:val="20"/>
              </w:rPr>
              <w:t xml:space="preserve"> = (E</w:t>
            </w:r>
            <w:r w:rsidRPr="000E6505">
              <w:rPr>
                <w:rFonts w:ascii="Arial" w:eastAsia="Times New Roman" w:hAnsi="Arial" w:cs="Arial"/>
                <w:sz w:val="14"/>
                <w:szCs w:val="14"/>
                <w:vertAlign w:val="subscript"/>
              </w:rPr>
              <w:t>i−o</w:t>
            </w:r>
            <w:r w:rsidRPr="000E6505">
              <w:rPr>
                <w:rFonts w:ascii="Arial" w:eastAsia="Times New Roman" w:hAnsi="Arial" w:cs="Arial"/>
                <w:sz w:val="20"/>
              </w:rPr>
              <w:t>) * (100/E</w:t>
            </w:r>
            <w:r w:rsidRPr="000E6505">
              <w:rPr>
                <w:rFonts w:ascii="Arial" w:eastAsia="Times New Roman" w:hAnsi="Arial" w:cs="Arial"/>
                <w:sz w:val="14"/>
                <w:szCs w:val="14"/>
                <w:vertAlign w:val="subscript"/>
              </w:rPr>
              <w:t>i</w:t>
            </w:r>
            <w:r w:rsidRPr="000E6505">
              <w:rPr>
                <w:rFonts w:ascii="Arial" w:eastAsia="Times New Roman" w:hAnsi="Arial" w:cs="Arial"/>
                <w:sz w:val="20"/>
              </w:rPr>
              <w:t>) (Eq. 3)</w:t>
            </w:r>
          </w:p>
          <w:p w:rsidR="000E6505" w:rsidRPr="000E6505" w:rsidRDefault="000E6505" w:rsidP="000E6505">
            <w:pPr>
              <w:spacing w:before="200" w:after="100" w:afterAutospacing="1" w:line="240" w:lineRule="auto"/>
              <w:rPr>
                <w:rFonts w:ascii="Arial" w:eastAsia="Times New Roman" w:hAnsi="Arial" w:cs="Arial"/>
                <w:sz w:val="18"/>
                <w:szCs w:val="18"/>
              </w:rPr>
            </w:pPr>
            <w:r w:rsidRPr="000E6505">
              <w:rPr>
                <w:rFonts w:ascii="Arial" w:eastAsia="Times New Roman" w:hAnsi="Arial" w:cs="Arial"/>
                <w:sz w:val="18"/>
                <w:szCs w:val="18"/>
              </w:rPr>
              <w:t>Where:</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%P</w:t>
            </w:r>
            <w:r w:rsidRPr="000E6505">
              <w:rPr>
                <w:rFonts w:ascii="Arial" w:eastAsia="Times New Roman" w:hAnsi="Arial" w:cs="Arial"/>
                <w:sz w:val="13"/>
                <w:szCs w:val="13"/>
                <w:vertAlign w:val="subscript"/>
              </w:rPr>
              <w:t>HC1</w:t>
            </w:r>
            <w:r w:rsidRPr="000E6505">
              <w:rPr>
                <w:rFonts w:ascii="Arial" w:eastAsia="Times New Roman" w:hAnsi="Arial" w:cs="Arial"/>
                <w:sz w:val="18"/>
                <w:szCs w:val="18"/>
              </w:rPr>
              <w:t xml:space="preserve"> = percent reduction of the potential hydrogen chloride emissions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E</w:t>
            </w:r>
            <w:r w:rsidRPr="000E6505">
              <w:rPr>
                <w:rFonts w:ascii="Arial" w:eastAsia="Times New Roman" w:hAnsi="Arial" w:cs="Arial"/>
                <w:sz w:val="13"/>
                <w:szCs w:val="13"/>
                <w:vertAlign w:val="subscript"/>
              </w:rPr>
              <w:t>I</w:t>
            </w:r>
            <w:r w:rsidRPr="000E6505">
              <w:rPr>
                <w:rFonts w:ascii="Arial" w:eastAsia="Times New Roman" w:hAnsi="Arial" w:cs="Arial"/>
                <w:sz w:val="18"/>
                <w:szCs w:val="18"/>
              </w:rPr>
              <w:t xml:space="preserve"> = hydrogen chloride emission concentration as measured at the air pollution control device inlet, corrected to 7 percent oxygen, dry basis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E</w:t>
            </w:r>
            <w:r w:rsidRPr="000E6505">
              <w:rPr>
                <w:rFonts w:ascii="Arial" w:eastAsia="Times New Roman" w:hAnsi="Arial" w:cs="Arial"/>
                <w:sz w:val="13"/>
                <w:szCs w:val="13"/>
                <w:vertAlign w:val="subscript"/>
              </w:rPr>
              <w:t>O</w:t>
            </w:r>
            <w:r w:rsidRPr="000E6505">
              <w:rPr>
                <w:rFonts w:ascii="Arial" w:eastAsia="Times New Roman" w:hAnsi="Arial" w:cs="Arial"/>
                <w:sz w:val="18"/>
                <w:szCs w:val="18"/>
              </w:rPr>
              <w:t xml:space="preserve"> = hydrogen chloride emission concentration as measured at the air pollution control device outlet, corrected to 7 percent oxygen, dry basis</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(d) </w:t>
            </w:r>
            <w:r w:rsidRPr="000E6505">
              <w:rPr>
                <w:rFonts w:ascii="Arial" w:eastAsia="Times New Roman" w:hAnsi="Arial" w:cs="Arial"/>
                <w:i/>
                <w:iCs/>
                <w:sz w:val="20"/>
              </w:rPr>
              <w:t>Capacity of a municipal waste combustion unit.</w:t>
            </w:r>
            <w:r w:rsidRPr="000E6505">
              <w:rPr>
                <w:rFonts w:ascii="Arial" w:eastAsia="Times New Roman" w:hAnsi="Arial" w:cs="Arial"/>
                <w:sz w:val="20"/>
              </w:rPr>
              <w:t xml:space="preserve"> For a municipal waste combustion unit that can operate continuously for 24-hour periods, calculate the municipal waste combustion unit capacity based on 24 hours of operation at the maximum charge rate. To determine the maximum charge rate, use one of two methods: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For municipal waste combustion units with a design based on heat input capacity, calculate the maximum charging rate based on the maximum heat input capacity and one of two heating values: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If </w:t>
            </w:r>
            <w:proofErr w:type="gramStart"/>
            <w:r w:rsidRPr="000E6505">
              <w:rPr>
                <w:rFonts w:ascii="Arial" w:eastAsia="Times New Roman" w:hAnsi="Arial" w:cs="Arial"/>
                <w:sz w:val="20"/>
              </w:rPr>
              <w:t>your</w:t>
            </w:r>
            <w:proofErr w:type="gramEnd"/>
            <w:r w:rsidRPr="000E6505">
              <w:rPr>
                <w:rFonts w:ascii="Arial" w:eastAsia="Times New Roman" w:hAnsi="Arial" w:cs="Arial"/>
                <w:sz w:val="20"/>
              </w:rPr>
              <w:t xml:space="preserve"> municipal waste combustion unit combusts refuse-derived fuel, use a heating value of 12,800 kilojoules per kilogram (5,500 British thermal units per pound).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 If </w:t>
            </w:r>
            <w:proofErr w:type="gramStart"/>
            <w:r w:rsidRPr="000E6505">
              <w:rPr>
                <w:rFonts w:ascii="Arial" w:eastAsia="Times New Roman" w:hAnsi="Arial" w:cs="Arial"/>
                <w:sz w:val="20"/>
              </w:rPr>
              <w:t>your</w:t>
            </w:r>
            <w:proofErr w:type="gramEnd"/>
            <w:r w:rsidRPr="000E6505">
              <w:rPr>
                <w:rFonts w:ascii="Arial" w:eastAsia="Times New Roman" w:hAnsi="Arial" w:cs="Arial"/>
                <w:sz w:val="20"/>
              </w:rPr>
              <w:t xml:space="preserve"> municipal waste combustion unit combusts municipal solid waste, use a heating value of 10,500 kilojoules per kilogram (4,500 British thermal units per pound).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For municipal waste combustion units with a design not based on heat input capacity, use the </w:t>
            </w:r>
            <w:r w:rsidRPr="000E6505">
              <w:rPr>
                <w:rFonts w:ascii="Arial" w:eastAsia="Times New Roman" w:hAnsi="Arial" w:cs="Arial"/>
                <w:sz w:val="20"/>
              </w:rPr>
              <w:lastRenderedPageBreak/>
              <w:t xml:space="preserve">maximum designed charging rate.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(e) </w:t>
            </w:r>
            <w:r w:rsidRPr="000E6505">
              <w:rPr>
                <w:rFonts w:ascii="Arial" w:eastAsia="Times New Roman" w:hAnsi="Arial" w:cs="Arial"/>
                <w:i/>
                <w:iCs/>
                <w:sz w:val="20"/>
              </w:rPr>
              <w:t>Capacity of a batch municipal waste combustion unit.</w:t>
            </w:r>
            <w:r w:rsidRPr="000E6505">
              <w:rPr>
                <w:rFonts w:ascii="Arial" w:eastAsia="Times New Roman" w:hAnsi="Arial" w:cs="Arial"/>
                <w:sz w:val="20"/>
              </w:rPr>
              <w:t xml:space="preserve"> Calculate the capacity of a batch municipal waste combustion unit as the maximum design amount of municipal solid waste they can charge per batch multiplied by the maximum number of batches they can process in 24 hours. Calculate the maximum number of batches by dividing 24 by the number of hours needed to process one batch. Retain fractional batches in the calculation. For example, if one batch requires 16 hours, the municipal waste combustion </w:t>
            </w:r>
            <w:proofErr w:type="gramStart"/>
            <w:r w:rsidRPr="000E6505">
              <w:rPr>
                <w:rFonts w:ascii="Arial" w:eastAsia="Times New Roman" w:hAnsi="Arial" w:cs="Arial"/>
                <w:sz w:val="20"/>
              </w:rPr>
              <w:t>unit can</w:t>
            </w:r>
            <w:proofErr w:type="gramEnd"/>
            <w:r w:rsidRPr="000E6505">
              <w:rPr>
                <w:rFonts w:ascii="Arial" w:eastAsia="Times New Roman" w:hAnsi="Arial" w:cs="Arial"/>
                <w:sz w:val="20"/>
              </w:rPr>
              <w:t xml:space="preserve"> combust 24/16, or 1.5 batches, in 24 hours.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(f) </w:t>
            </w:r>
            <w:r w:rsidRPr="000E6505">
              <w:rPr>
                <w:rFonts w:ascii="Arial" w:eastAsia="Times New Roman" w:hAnsi="Arial" w:cs="Arial"/>
                <w:i/>
                <w:iCs/>
                <w:sz w:val="20"/>
              </w:rPr>
              <w:t>Quarterly carbon usage.</w:t>
            </w:r>
            <w:r w:rsidRPr="000E6505">
              <w:rPr>
                <w:rFonts w:ascii="Arial" w:eastAsia="Times New Roman" w:hAnsi="Arial" w:cs="Arial"/>
                <w:sz w:val="20"/>
              </w:rPr>
              <w:t xml:space="preserve"> If you use activated carbon to comply with the dioxins/furans or mercury limits, calculate the required quarterly usage of carbon using equation 4 of this section for plant basis or equation 5 of this section for unit basis: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(1) Plant basis.</w:t>
            </w:r>
          </w:p>
          <w:p w:rsidR="000E6505" w:rsidRPr="000E6505" w:rsidRDefault="000E6505" w:rsidP="000E6505">
            <w:pPr>
              <w:spacing w:after="0" w:line="240" w:lineRule="auto"/>
              <w:rPr>
                <w:rFonts w:ascii="Arial" w:eastAsia="Times New Roman" w:hAnsi="Arial" w:cs="Arial"/>
                <w:sz w:val="20"/>
              </w:rPr>
            </w:pPr>
            <w:r>
              <w:rPr>
                <w:rFonts w:ascii="Arial" w:eastAsia="Times New Roman" w:hAnsi="Arial" w:cs="Arial"/>
                <w:noProof/>
                <w:sz w:val="20"/>
              </w:rPr>
              <w:drawing>
                <wp:inline distT="0" distB="0" distL="0" distR="0">
                  <wp:extent cx="1581150" cy="428625"/>
                  <wp:effectExtent l="19050" t="0" r="0" b="0"/>
                  <wp:docPr id="111" name="Picture 111" descr="eCFR graphic er06de0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eCFR graphic er06de00.001.gif"/>
                          <pic:cNvPicPr>
                            <a:picLocks noChangeAspect="1" noChangeArrowheads="1"/>
                          </pic:cNvPicPr>
                        </pic:nvPicPr>
                        <pic:blipFill>
                          <a:blip r:embed="rId229" cstate="print"/>
                          <a:srcRect/>
                          <a:stretch>
                            <a:fillRect/>
                          </a:stretch>
                        </pic:blipFill>
                        <pic:spPr bwMode="auto">
                          <a:xfrm>
                            <a:off x="0" y="0"/>
                            <a:ext cx="1581150" cy="428625"/>
                          </a:xfrm>
                          <a:prstGeom prst="rect">
                            <a:avLst/>
                          </a:prstGeom>
                          <a:noFill/>
                          <a:ln w="9525">
                            <a:noFill/>
                            <a:miter lim="800000"/>
                            <a:headEnd/>
                            <a:tailEnd/>
                          </a:ln>
                        </pic:spPr>
                      </pic:pic>
                    </a:graphicData>
                  </a:graphic>
                </wp:inline>
              </w:drawing>
            </w:r>
          </w:p>
          <w:p w:rsidR="000E6505" w:rsidRPr="000E6505" w:rsidRDefault="000E6505" w:rsidP="000E6505">
            <w:pPr>
              <w:spacing w:before="200" w:after="100" w:afterAutospacing="1" w:line="240" w:lineRule="auto"/>
              <w:rPr>
                <w:rFonts w:ascii="Arial" w:eastAsia="Times New Roman" w:hAnsi="Arial" w:cs="Arial"/>
                <w:sz w:val="18"/>
                <w:szCs w:val="18"/>
              </w:rPr>
            </w:pPr>
            <w:r w:rsidRPr="000E6505">
              <w:rPr>
                <w:rFonts w:ascii="Arial" w:eastAsia="Times New Roman" w:hAnsi="Arial" w:cs="Arial"/>
                <w:sz w:val="18"/>
                <w:szCs w:val="18"/>
              </w:rPr>
              <w:t>Where:</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 xml:space="preserve">C = required quarterly carbon usage for the plant in kilograms (or pounds). </w:t>
            </w:r>
          </w:p>
          <w:p w:rsidR="000E6505" w:rsidRPr="000E6505" w:rsidRDefault="000E6505" w:rsidP="000E6505">
            <w:pPr>
              <w:spacing w:before="200" w:after="100" w:line="240" w:lineRule="auto"/>
              <w:ind w:left="960" w:hanging="960"/>
              <w:rPr>
                <w:rFonts w:ascii="Arial" w:eastAsia="Times New Roman" w:hAnsi="Arial" w:cs="Arial"/>
                <w:sz w:val="18"/>
                <w:szCs w:val="18"/>
              </w:rPr>
            </w:pPr>
            <w:proofErr w:type="gramStart"/>
            <w:r w:rsidRPr="000E6505">
              <w:rPr>
                <w:rFonts w:ascii="Arial" w:eastAsia="Times New Roman" w:hAnsi="Arial" w:cs="Arial"/>
                <w:sz w:val="18"/>
                <w:szCs w:val="18"/>
              </w:rPr>
              <w:t>f</w:t>
            </w:r>
            <w:r w:rsidRPr="000E6505">
              <w:rPr>
                <w:rFonts w:ascii="Arial" w:eastAsia="Times New Roman" w:hAnsi="Arial" w:cs="Arial"/>
                <w:sz w:val="13"/>
                <w:szCs w:val="13"/>
                <w:vertAlign w:val="subscript"/>
              </w:rPr>
              <w:t>i</w:t>
            </w:r>
            <w:proofErr w:type="gramEnd"/>
            <w:r w:rsidRPr="000E6505">
              <w:rPr>
                <w:rFonts w:ascii="Arial" w:eastAsia="Times New Roman" w:hAnsi="Arial" w:cs="Arial"/>
                <w:sz w:val="18"/>
                <w:szCs w:val="18"/>
              </w:rPr>
              <w:t xml:space="preserve"> = required carbon feed rate for the municipal waste combustion unit in kilograms (or pounds) per hour. That is the average carbon feed rate during the most recent mercury or dioxins/furans stack tests (whichever has a higher feed rate). </w:t>
            </w:r>
          </w:p>
          <w:p w:rsidR="000E6505" w:rsidRPr="000E6505" w:rsidRDefault="000E6505" w:rsidP="000E6505">
            <w:pPr>
              <w:spacing w:before="200" w:after="100" w:line="240" w:lineRule="auto"/>
              <w:ind w:left="960" w:hanging="960"/>
              <w:rPr>
                <w:rFonts w:ascii="Arial" w:eastAsia="Times New Roman" w:hAnsi="Arial" w:cs="Arial"/>
                <w:sz w:val="18"/>
                <w:szCs w:val="18"/>
              </w:rPr>
            </w:pPr>
            <w:proofErr w:type="gramStart"/>
            <w:r w:rsidRPr="000E6505">
              <w:rPr>
                <w:rFonts w:ascii="Arial" w:eastAsia="Times New Roman" w:hAnsi="Arial" w:cs="Arial"/>
                <w:sz w:val="18"/>
                <w:szCs w:val="18"/>
              </w:rPr>
              <w:t>h</w:t>
            </w:r>
            <w:r w:rsidRPr="000E6505">
              <w:rPr>
                <w:rFonts w:ascii="Arial" w:eastAsia="Times New Roman" w:hAnsi="Arial" w:cs="Arial"/>
                <w:sz w:val="13"/>
                <w:szCs w:val="13"/>
                <w:vertAlign w:val="subscript"/>
              </w:rPr>
              <w:t>i</w:t>
            </w:r>
            <w:proofErr w:type="gramEnd"/>
            <w:r w:rsidRPr="000E6505">
              <w:rPr>
                <w:rFonts w:ascii="Arial" w:eastAsia="Times New Roman" w:hAnsi="Arial" w:cs="Arial"/>
                <w:sz w:val="18"/>
                <w:szCs w:val="18"/>
              </w:rPr>
              <w:t xml:space="preserve"> = number of hours the municipal waste combustion unit was in operation during the calendar quarter (hours).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n = number of municipal waste combustion units, i, located at your plant.</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(2) Unit basis.</w:t>
            </w:r>
          </w:p>
          <w:p w:rsidR="000E6505" w:rsidRPr="000E6505" w:rsidRDefault="000E6505" w:rsidP="000E6505">
            <w:pPr>
              <w:spacing w:after="0" w:line="240" w:lineRule="auto"/>
              <w:rPr>
                <w:rFonts w:ascii="Arial" w:eastAsia="Times New Roman" w:hAnsi="Arial" w:cs="Arial"/>
                <w:sz w:val="20"/>
              </w:rPr>
            </w:pPr>
            <w:r>
              <w:rPr>
                <w:rFonts w:ascii="Arial" w:eastAsia="Times New Roman" w:hAnsi="Arial" w:cs="Arial"/>
                <w:noProof/>
                <w:sz w:val="20"/>
              </w:rPr>
              <w:drawing>
                <wp:inline distT="0" distB="0" distL="0" distR="0">
                  <wp:extent cx="1343025" cy="200025"/>
                  <wp:effectExtent l="19050" t="0" r="9525" b="0"/>
                  <wp:docPr id="112" name="Picture 112" descr="eCFR graphic er06de0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eCFR graphic er06de00.002.gif"/>
                          <pic:cNvPicPr>
                            <a:picLocks noChangeAspect="1" noChangeArrowheads="1"/>
                          </pic:cNvPicPr>
                        </pic:nvPicPr>
                        <pic:blipFill>
                          <a:blip r:embed="rId230" cstate="print"/>
                          <a:srcRect/>
                          <a:stretch>
                            <a:fillRect/>
                          </a:stretch>
                        </pic:blipFill>
                        <pic:spPr bwMode="auto">
                          <a:xfrm>
                            <a:off x="0" y="0"/>
                            <a:ext cx="1343025" cy="200025"/>
                          </a:xfrm>
                          <a:prstGeom prst="rect">
                            <a:avLst/>
                          </a:prstGeom>
                          <a:noFill/>
                          <a:ln w="9525">
                            <a:noFill/>
                            <a:miter lim="800000"/>
                            <a:headEnd/>
                            <a:tailEnd/>
                          </a:ln>
                        </pic:spPr>
                      </pic:pic>
                    </a:graphicData>
                  </a:graphic>
                </wp:inline>
              </w:drawing>
            </w:r>
          </w:p>
          <w:p w:rsidR="000E6505" w:rsidRPr="000E6505" w:rsidRDefault="000E6505" w:rsidP="000E6505">
            <w:pPr>
              <w:spacing w:before="200" w:after="100" w:afterAutospacing="1" w:line="240" w:lineRule="auto"/>
              <w:rPr>
                <w:rFonts w:ascii="Arial" w:eastAsia="Times New Roman" w:hAnsi="Arial" w:cs="Arial"/>
                <w:sz w:val="18"/>
                <w:szCs w:val="18"/>
              </w:rPr>
            </w:pPr>
            <w:r w:rsidRPr="000E6505">
              <w:rPr>
                <w:rFonts w:ascii="Arial" w:eastAsia="Times New Roman" w:hAnsi="Arial" w:cs="Arial"/>
                <w:sz w:val="18"/>
                <w:szCs w:val="18"/>
              </w:rPr>
              <w:t>Where:</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 xml:space="preserve">C = required quarterly carbon usage for the unit in kilograms (or pounds).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 xml:space="preserve">f = required carbon feed rate for the municipal waste combustion unit in kilograms (or pounds) per hour. That is the average carbon feed rate during the most recent mercury or dioxins/furans stack tests (whichever has a higher feed rate). </w:t>
            </w:r>
          </w:p>
          <w:p w:rsidR="000E6505" w:rsidRPr="000E6505" w:rsidRDefault="000E6505" w:rsidP="000E6505">
            <w:pPr>
              <w:spacing w:before="200" w:after="100" w:line="240" w:lineRule="auto"/>
              <w:ind w:left="960" w:hanging="960"/>
              <w:rPr>
                <w:rFonts w:ascii="Arial" w:eastAsia="Times New Roman" w:hAnsi="Arial" w:cs="Arial"/>
                <w:sz w:val="18"/>
                <w:szCs w:val="18"/>
              </w:rPr>
            </w:pPr>
            <w:r w:rsidRPr="000E6505">
              <w:rPr>
                <w:rFonts w:ascii="Arial" w:eastAsia="Times New Roman" w:hAnsi="Arial" w:cs="Arial"/>
                <w:sz w:val="18"/>
                <w:szCs w:val="18"/>
              </w:rPr>
              <w:t>h = number of hours the municipal waste combustion unit was in operation during the calendar quarter (hours).</w:t>
            </w:r>
          </w:p>
          <w:p w:rsidR="000E6505" w:rsidRPr="000E6505" w:rsidRDefault="000E6505" w:rsidP="000E6505">
            <w:pPr>
              <w:spacing w:before="200" w:after="100" w:afterAutospacing="1" w:line="240" w:lineRule="auto"/>
              <w:rPr>
                <w:rFonts w:ascii="Arial" w:eastAsia="Times New Roman" w:hAnsi="Arial" w:cs="Arial"/>
                <w:sz w:val="20"/>
              </w:rPr>
            </w:pPr>
            <w:hyperlink r:id="rId231" w:anchor="_top" w:history="1">
              <w:r>
                <w:rPr>
                  <w:rFonts w:ascii="Arial" w:eastAsia="Times New Roman" w:hAnsi="Arial" w:cs="Arial"/>
                  <w:noProof/>
                  <w:color w:val="0000FF"/>
                  <w:sz w:val="17"/>
                  <w:szCs w:val="17"/>
                </w:rPr>
                <w:drawing>
                  <wp:inline distT="0" distB="0" distL="0" distR="0">
                    <wp:extent cx="152400" cy="152400"/>
                    <wp:effectExtent l="0" t="0" r="0" b="0"/>
                    <wp:docPr id="113" name="Picture 113"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mallCaps/>
                <w:sz w:val="27"/>
                <w:szCs w:val="27"/>
              </w:rPr>
            </w:pPr>
            <w:bookmarkStart w:id="108" w:name="40:7.0.1.1.1.90.166"/>
            <w:bookmarkEnd w:id="108"/>
            <w:r w:rsidRPr="000E6505">
              <w:rPr>
                <w:rFonts w:ascii="Arial" w:eastAsia="Times New Roman" w:hAnsi="Arial" w:cs="Arial"/>
                <w:b/>
                <w:bCs/>
                <w:smallCaps/>
                <w:sz w:val="27"/>
                <w:szCs w:val="27"/>
              </w:rPr>
              <w:t>Definitions</w:t>
            </w:r>
          </w:p>
          <w:p w:rsidR="000E6505" w:rsidRPr="000E6505" w:rsidRDefault="000E6505" w:rsidP="000E6505">
            <w:pPr>
              <w:spacing w:before="200" w:after="100" w:afterAutospacing="1" w:line="240" w:lineRule="auto"/>
              <w:rPr>
                <w:rFonts w:ascii="Arial" w:eastAsia="Times New Roman" w:hAnsi="Arial" w:cs="Arial"/>
                <w:sz w:val="20"/>
              </w:rPr>
            </w:pPr>
            <w:hyperlink r:id="rId232" w:anchor="_top" w:history="1">
              <w:r>
                <w:rPr>
                  <w:rFonts w:ascii="Arial" w:eastAsia="Times New Roman" w:hAnsi="Arial" w:cs="Arial"/>
                  <w:noProof/>
                  <w:color w:val="0000FF"/>
                  <w:sz w:val="17"/>
                  <w:szCs w:val="17"/>
                </w:rPr>
                <w:drawing>
                  <wp:inline distT="0" distB="0" distL="0" distR="0">
                    <wp:extent cx="152400" cy="152400"/>
                    <wp:effectExtent l="0" t="0" r="0" b="0"/>
                    <wp:docPr id="114" name="Picture 114"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09" w:name="40:7.0.1.1.1.90.166.94"/>
            <w:bookmarkEnd w:id="109"/>
            <w:r w:rsidRPr="000E6505">
              <w:rPr>
                <w:rFonts w:ascii="Arial" w:eastAsia="Times New Roman" w:hAnsi="Arial" w:cs="Arial"/>
                <w:b/>
                <w:bCs/>
                <w:sz w:val="20"/>
              </w:rPr>
              <w:t>§60.1465   What definitions must I know?</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Terms used but not defined in this section are defined in the CAA and in subparts A and B of this </w:t>
            </w:r>
            <w:r w:rsidRPr="000E6505">
              <w:rPr>
                <w:rFonts w:ascii="Arial" w:eastAsia="Times New Roman" w:hAnsi="Arial" w:cs="Arial"/>
                <w:sz w:val="20"/>
              </w:rPr>
              <w:lastRenderedPageBreak/>
              <w:t xml:space="preserve">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Administrator</w:t>
            </w:r>
            <w:r w:rsidRPr="000E6505">
              <w:rPr>
                <w:rFonts w:ascii="Arial" w:eastAsia="Times New Roman" w:hAnsi="Arial" w:cs="Arial"/>
                <w:sz w:val="20"/>
              </w:rPr>
              <w:t xml:space="preserve"> means the Administrator of the U.S. Environmental Protection Agency or his/her authorized representative or the Administrator of a State Air Pollution Control Agency.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Air curtain incinerator</w:t>
            </w:r>
            <w:r w:rsidRPr="000E6505">
              <w:rPr>
                <w:rFonts w:ascii="Arial" w:eastAsia="Times New Roman" w:hAnsi="Arial" w:cs="Arial"/>
                <w:sz w:val="20"/>
              </w:rPr>
              <w:t xml:space="preserve"> means an incinerator that operates by forcefully projecting a curtain of air across an open chamber or pit in which combustion occurs. Incinerators of that type can be constructed above or below ground and with or without refractory walls and floor.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Batch municipal waste combustion unit</w:t>
            </w:r>
            <w:r w:rsidRPr="000E6505">
              <w:rPr>
                <w:rFonts w:ascii="Arial" w:eastAsia="Times New Roman" w:hAnsi="Arial" w:cs="Arial"/>
                <w:sz w:val="20"/>
              </w:rPr>
              <w:t xml:space="preserve"> means a municipal waste combustion unit designed so it cannot combust municipal solid waste continuously 24 hours per day because the design does not allow waste to be fed to the unit or ash to be removed during combustion.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Calendar quarter</w:t>
            </w:r>
            <w:r w:rsidRPr="000E6505">
              <w:rPr>
                <w:rFonts w:ascii="Arial" w:eastAsia="Times New Roman" w:hAnsi="Arial" w:cs="Arial"/>
                <w:sz w:val="20"/>
              </w:rPr>
              <w:t xml:space="preserve"> means three consecutive months (nonoverlapping) beginning on: January 1, April 1, July 1, or October 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Calendar year</w:t>
            </w:r>
            <w:r w:rsidRPr="000E6505">
              <w:rPr>
                <w:rFonts w:ascii="Arial" w:eastAsia="Times New Roman" w:hAnsi="Arial" w:cs="Arial"/>
                <w:sz w:val="20"/>
              </w:rPr>
              <w:t xml:space="preserve"> means 365 (or 366 consecutive days for leap years) consecutive days starting on January 1 and ending on December 31.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Chief facility operator</w:t>
            </w:r>
            <w:r w:rsidRPr="000E6505">
              <w:rPr>
                <w:rFonts w:ascii="Arial" w:eastAsia="Times New Roman" w:hAnsi="Arial" w:cs="Arial"/>
                <w:sz w:val="20"/>
              </w:rPr>
              <w:t xml:space="preserve"> means the person in direct charge and control of the operation of a municipal waste combustion unit. That person is responsible for daily onsite supervision, technical direction, management, and overall performance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Class I units</w:t>
            </w:r>
            <w:r w:rsidRPr="000E6505">
              <w:rPr>
                <w:rFonts w:ascii="Arial" w:eastAsia="Times New Roman" w:hAnsi="Arial" w:cs="Arial"/>
                <w:sz w:val="20"/>
              </w:rPr>
              <w:t xml:space="preserve"> mean small municipal waste combustion units subject to this subpart that are located at municipal waste combustion plants with an aggregate plant combustion capacity greater than 250 tons per day of municipal solid waste. See the definition in this section of “municipal waste combustion plant capacity” for specification of which units at a plant site are included in the aggregate capacity calculation.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Class II units</w:t>
            </w:r>
            <w:r w:rsidRPr="000E6505">
              <w:rPr>
                <w:rFonts w:ascii="Arial" w:eastAsia="Times New Roman" w:hAnsi="Arial" w:cs="Arial"/>
                <w:sz w:val="20"/>
              </w:rPr>
              <w:t xml:space="preserve"> mean small municipal waste combustion units subject to this subpart that are located at municipal waste combustion plants with an aggregate plant combustion capacity less than or equal to 250 tons per day of municipal solid waste. See the definition in this section of “municipal waste combustion plant capacity” for specification of which units at a plant site are included in the aggregate capacity calculation.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Clean wood</w:t>
            </w:r>
            <w:r w:rsidRPr="000E6505">
              <w:rPr>
                <w:rFonts w:ascii="Arial" w:eastAsia="Times New Roman" w:hAnsi="Arial" w:cs="Arial"/>
                <w:sz w:val="20"/>
              </w:rPr>
              <w:t xml:space="preserve"> means untreated wood or untreated wood products including clean untreated lumber, tree stumps (whole or chipped), and tree limbs (whole or chipped). Clean wood does not include two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“Yard waste,” which is defined elsewhere in this section.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Construction, renovation, or demolition wastes (for example, railroad ties and telephone poles) </w:t>
            </w:r>
            <w:proofErr w:type="gramStart"/>
            <w:r w:rsidRPr="000E6505">
              <w:rPr>
                <w:rFonts w:ascii="Arial" w:eastAsia="Times New Roman" w:hAnsi="Arial" w:cs="Arial"/>
                <w:sz w:val="20"/>
              </w:rPr>
              <w:t>that are</w:t>
            </w:r>
            <w:proofErr w:type="gramEnd"/>
            <w:r w:rsidRPr="000E6505">
              <w:rPr>
                <w:rFonts w:ascii="Arial" w:eastAsia="Times New Roman" w:hAnsi="Arial" w:cs="Arial"/>
                <w:sz w:val="20"/>
              </w:rPr>
              <w:t xml:space="preserve"> exempt from the definition of “municipal solid waste” in this section.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Co-fired combustion unit</w:t>
            </w:r>
            <w:r w:rsidRPr="000E6505">
              <w:rPr>
                <w:rFonts w:ascii="Arial" w:eastAsia="Times New Roman" w:hAnsi="Arial" w:cs="Arial"/>
                <w:sz w:val="20"/>
              </w:rPr>
              <w:t xml:space="preserve"> means a unit that combusts municipal solid waste with nonmunicipal solid waste fuel (for example, coal, industrial process waste). To be considered a co-fired combustion unit, the unit must be subject to a federally enforceable permit that limits it to combusting a fuel feed stream which is 30 percent or less (by weight) municipal solid waste as measured each calendar quarter.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Continuous burning</w:t>
            </w:r>
            <w:r w:rsidRPr="000E6505">
              <w:rPr>
                <w:rFonts w:ascii="Arial" w:eastAsia="Times New Roman" w:hAnsi="Arial" w:cs="Arial"/>
                <w:sz w:val="20"/>
              </w:rPr>
              <w:t xml:space="preserve"> means the continuous, semicontinuous, or batch feeding of municipal solid waste to dispose of the waste, produce energy, or provide heat to the combustion system in preparation for waste disposal or energy production. Continuous burning does not mean the use of municipal solid waste solely to thermally protect the grate or hearth during the startup period when municipal solid waste </w:t>
            </w:r>
            <w:r w:rsidRPr="000E6505">
              <w:rPr>
                <w:rFonts w:ascii="Arial" w:eastAsia="Times New Roman" w:hAnsi="Arial" w:cs="Arial"/>
                <w:sz w:val="20"/>
              </w:rPr>
              <w:lastRenderedPageBreak/>
              <w:t xml:space="preserve">is not fed to the grate or hearth.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Continuous emission monitoring system</w:t>
            </w:r>
            <w:r w:rsidRPr="000E6505">
              <w:rPr>
                <w:rFonts w:ascii="Arial" w:eastAsia="Times New Roman" w:hAnsi="Arial" w:cs="Arial"/>
                <w:sz w:val="20"/>
              </w:rPr>
              <w:t xml:space="preserve"> means a monitoring system </w:t>
            </w:r>
            <w:r w:rsidRPr="000E6505">
              <w:rPr>
                <w:rFonts w:ascii="Arial" w:eastAsia="Times New Roman" w:hAnsi="Arial" w:cs="Arial"/>
                <w:i/>
                <w:iCs/>
                <w:sz w:val="20"/>
              </w:rPr>
              <w:t>that continuously measures the emissions of a pollutant from a municipal waste combustion unit.</w:t>
            </w:r>
            <w:r w:rsidRPr="000E6505">
              <w:rPr>
                <w:rFonts w:ascii="Arial" w:eastAsia="Times New Roman" w:hAnsi="Arial" w:cs="Arial"/>
                <w:sz w:val="20"/>
              </w:rPr>
              <w:t xml:space="preserv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Dioxins/furans</w:t>
            </w:r>
            <w:r w:rsidRPr="000E6505">
              <w:rPr>
                <w:rFonts w:ascii="Arial" w:eastAsia="Times New Roman" w:hAnsi="Arial" w:cs="Arial"/>
                <w:sz w:val="20"/>
              </w:rPr>
              <w:t xml:space="preserve"> mean tetra- through octachlorinated dibenzo-p-dioxins and dibenzofurans.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Eight-hour block average</w:t>
            </w:r>
            <w:r w:rsidRPr="000E6505">
              <w:rPr>
                <w:rFonts w:ascii="Arial" w:eastAsia="Times New Roman" w:hAnsi="Arial" w:cs="Arial"/>
                <w:sz w:val="20"/>
              </w:rPr>
              <w:t xml:space="preserve"> means the average of all hourly emission concentrations or parameter levels when the municipal waste combustion unit operates and combusts municipal solid waste measured over any of three 8-hour periods of time: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12:00 </w:t>
            </w:r>
            <w:proofErr w:type="gramStart"/>
            <w:r w:rsidRPr="000E6505">
              <w:rPr>
                <w:rFonts w:ascii="Arial" w:eastAsia="Times New Roman" w:hAnsi="Arial" w:cs="Arial"/>
                <w:sz w:val="20"/>
              </w:rPr>
              <w:t>midnight</w:t>
            </w:r>
            <w:proofErr w:type="gramEnd"/>
            <w:r w:rsidRPr="000E6505">
              <w:rPr>
                <w:rFonts w:ascii="Arial" w:eastAsia="Times New Roman" w:hAnsi="Arial" w:cs="Arial"/>
                <w:sz w:val="20"/>
              </w:rPr>
              <w:t xml:space="preserve"> to 8:00 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8:00 a.m. to 4:00 p.m.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4:00 p.m. to 12:00 midnight.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Federally enforceable</w:t>
            </w:r>
            <w:r w:rsidRPr="000E6505">
              <w:rPr>
                <w:rFonts w:ascii="Arial" w:eastAsia="Times New Roman" w:hAnsi="Arial" w:cs="Arial"/>
                <w:sz w:val="20"/>
              </w:rPr>
              <w:t xml:space="preserve"> means all limits and conditions the Administrator can enforce (including the requirements of 40 CFR parts 60, 61, and 63), requirements in a State's implementation plan, and any permit requirements established under 40 CFR 52.21 or under 40 CFR 51.18 and 40 CFR 51.24.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First calendar half</w:t>
            </w:r>
            <w:r w:rsidRPr="000E6505">
              <w:rPr>
                <w:rFonts w:ascii="Arial" w:eastAsia="Times New Roman" w:hAnsi="Arial" w:cs="Arial"/>
                <w:sz w:val="20"/>
              </w:rPr>
              <w:t xml:space="preserve"> means the period that starts on January 1 and ends on June 30 in any year.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Fluidized bed combustion unit</w:t>
            </w:r>
            <w:r w:rsidRPr="000E6505">
              <w:rPr>
                <w:rFonts w:ascii="Arial" w:eastAsia="Times New Roman" w:hAnsi="Arial" w:cs="Arial"/>
                <w:sz w:val="20"/>
              </w:rPr>
              <w:t xml:space="preserve"> means a unit where municipal waste is combusted in a fluidized bed of material. The fluidized bed material may remain in the primary combustion zone or may be carried out of the primary combustion zone and returned through a recirculation loop.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Four-hour block average</w:t>
            </w:r>
            <w:r w:rsidRPr="000E6505">
              <w:rPr>
                <w:rFonts w:ascii="Arial" w:eastAsia="Times New Roman" w:hAnsi="Arial" w:cs="Arial"/>
                <w:sz w:val="20"/>
              </w:rPr>
              <w:t xml:space="preserve"> or </w:t>
            </w:r>
            <w:r w:rsidRPr="000E6505">
              <w:rPr>
                <w:rFonts w:ascii="Arial" w:eastAsia="Times New Roman" w:hAnsi="Arial" w:cs="Arial"/>
                <w:i/>
                <w:iCs/>
                <w:sz w:val="20"/>
              </w:rPr>
              <w:t>4-hour block average</w:t>
            </w:r>
            <w:r w:rsidRPr="000E6505">
              <w:rPr>
                <w:rFonts w:ascii="Arial" w:eastAsia="Times New Roman" w:hAnsi="Arial" w:cs="Arial"/>
                <w:sz w:val="20"/>
              </w:rPr>
              <w:t xml:space="preserve"> means the average of all hourly emission concentrations or parameter levels when the municipal waste combustion unit operates and combusts municipal solid waste measured over any of six 4-hour periods: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12:00 </w:t>
            </w:r>
            <w:proofErr w:type="gramStart"/>
            <w:r w:rsidRPr="000E6505">
              <w:rPr>
                <w:rFonts w:ascii="Arial" w:eastAsia="Times New Roman" w:hAnsi="Arial" w:cs="Arial"/>
                <w:sz w:val="20"/>
              </w:rPr>
              <w:t>midnight</w:t>
            </w:r>
            <w:proofErr w:type="gramEnd"/>
            <w:r w:rsidRPr="000E6505">
              <w:rPr>
                <w:rFonts w:ascii="Arial" w:eastAsia="Times New Roman" w:hAnsi="Arial" w:cs="Arial"/>
                <w:sz w:val="20"/>
              </w:rPr>
              <w:t xml:space="preserve"> to 4:00 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4:00 a.m. to 8:00 a.m.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8:00 a.m. to 12:00 noon.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(4) 12:00 </w:t>
            </w:r>
            <w:proofErr w:type="gramStart"/>
            <w:r w:rsidRPr="000E6505">
              <w:rPr>
                <w:rFonts w:ascii="Arial" w:eastAsia="Times New Roman" w:hAnsi="Arial" w:cs="Arial"/>
                <w:sz w:val="20"/>
              </w:rPr>
              <w:t>noon</w:t>
            </w:r>
            <w:proofErr w:type="gramEnd"/>
            <w:r w:rsidRPr="000E6505">
              <w:rPr>
                <w:rFonts w:ascii="Arial" w:eastAsia="Times New Roman" w:hAnsi="Arial" w:cs="Arial"/>
                <w:sz w:val="20"/>
              </w:rPr>
              <w:t xml:space="preserve"> to 4:00 p.m.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(5) 4:00 p.m. to 8:00 p.m.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(6) 8:00 p.m. to 12:00 midnight.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Mass burn refractory municipal waste combustion unit</w:t>
            </w:r>
            <w:r w:rsidRPr="000E6505">
              <w:rPr>
                <w:rFonts w:ascii="Arial" w:eastAsia="Times New Roman" w:hAnsi="Arial" w:cs="Arial"/>
                <w:sz w:val="20"/>
              </w:rPr>
              <w:t xml:space="preserve"> means a field-erected municipal waste combustion unit that combusts municipal solid waste in a refractory wall furnace. Unless otherwise specified, that includes municipal waste combustion units with a cylindrical rotary refractory wall furnace.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Mass burn rotary waterwall municipal waste combustion unit</w:t>
            </w:r>
            <w:r w:rsidRPr="000E6505">
              <w:rPr>
                <w:rFonts w:ascii="Arial" w:eastAsia="Times New Roman" w:hAnsi="Arial" w:cs="Arial"/>
                <w:sz w:val="20"/>
              </w:rPr>
              <w:t xml:space="preserve"> means a field-erected municipal waste combustion unit that combusts municipal solid waste in a cylindrical rotary waterwall furnace.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Mass burn waterwall municipal waste combustion unit</w:t>
            </w:r>
            <w:r w:rsidRPr="000E6505">
              <w:rPr>
                <w:rFonts w:ascii="Arial" w:eastAsia="Times New Roman" w:hAnsi="Arial" w:cs="Arial"/>
                <w:sz w:val="20"/>
              </w:rPr>
              <w:t xml:space="preserve"> means a field-erected municipal waste </w:t>
            </w:r>
            <w:r w:rsidRPr="000E6505">
              <w:rPr>
                <w:rFonts w:ascii="Arial" w:eastAsia="Times New Roman" w:hAnsi="Arial" w:cs="Arial"/>
                <w:sz w:val="20"/>
              </w:rPr>
              <w:lastRenderedPageBreak/>
              <w:t xml:space="preserve">combustion unit that combusts municipal solid waste in a waterwall furnace.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Materials separation plan</w:t>
            </w:r>
            <w:r w:rsidRPr="000E6505">
              <w:rPr>
                <w:rFonts w:ascii="Arial" w:eastAsia="Times New Roman" w:hAnsi="Arial" w:cs="Arial"/>
                <w:sz w:val="20"/>
              </w:rPr>
              <w:t xml:space="preserve"> means a plan that identifies a goal and an approach for separating certain components of municipal solid waste for a given service area in order to make the separated materials available for recycling. A materials separation plan may include three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Elements such as dropoff facilities, buy-back or deposit-return incentives, curbside pickup programs, or centralized mechanical separation systems.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Different goals or approaches for different subareas in the service area.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No materials separation activities for certain subareas or, if warranted, the entire service area.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Maximum demonstrated load of a municipal waste combustion unit</w:t>
            </w:r>
            <w:r w:rsidRPr="000E6505">
              <w:rPr>
                <w:rFonts w:ascii="Arial" w:eastAsia="Times New Roman" w:hAnsi="Arial" w:cs="Arial"/>
                <w:sz w:val="20"/>
              </w:rPr>
              <w:t xml:space="preserve"> means the highest 4-hour block arithmetic average municipal waste combustion unit load achieved during 4 consecutive hours in the course of the most recent dioxins/furans stack test that demonstrates compliance with the applicable emission limit for dioxins/furans specified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Maximum demonstrated temperature of the particulate matter control device</w:t>
            </w:r>
            <w:r w:rsidRPr="000E6505">
              <w:rPr>
                <w:rFonts w:ascii="Arial" w:eastAsia="Times New Roman" w:hAnsi="Arial" w:cs="Arial"/>
                <w:sz w:val="20"/>
              </w:rPr>
              <w:t xml:space="preserve"> means the highest 4-hour block arithmetic average flue gas temperature measured at the inlet of the particulate matter control device during 4 consecutive hours in the course of the most recent stack test for dioxins/furans emissions that demonstrates compliance with the limits specified in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Medical/infectious waste</w:t>
            </w:r>
            <w:r w:rsidRPr="000E6505">
              <w:rPr>
                <w:rFonts w:ascii="Arial" w:eastAsia="Times New Roman" w:hAnsi="Arial" w:cs="Arial"/>
                <w:sz w:val="20"/>
              </w:rPr>
              <w:t xml:space="preserve"> means any waste meeting the definition of “medical/infectious waste” in §60.51c of subpart E, of this 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Mixed fuel-fired (pulverized coal/refuse-derived fuel) combustion unit</w:t>
            </w:r>
            <w:r w:rsidRPr="000E6505">
              <w:rPr>
                <w:rFonts w:ascii="Arial" w:eastAsia="Times New Roman" w:hAnsi="Arial" w:cs="Arial"/>
                <w:sz w:val="20"/>
              </w:rPr>
              <w:t xml:space="preserve"> means a combustion unit that combusts coal and refuse-derived fuel simultaneously, in which pulverized coal is introduced into an air stream that carries the coal to the combustion chamber of the unit where it is combusted in suspension. That includes both conventional pulverized coal and micropulverized coal.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Modification</w:t>
            </w:r>
            <w:r w:rsidRPr="000E6505">
              <w:rPr>
                <w:rFonts w:ascii="Arial" w:eastAsia="Times New Roman" w:hAnsi="Arial" w:cs="Arial"/>
                <w:sz w:val="20"/>
              </w:rPr>
              <w:t xml:space="preserve"> or </w:t>
            </w:r>
            <w:r w:rsidRPr="000E6505">
              <w:rPr>
                <w:rFonts w:ascii="Arial" w:eastAsia="Times New Roman" w:hAnsi="Arial" w:cs="Arial"/>
                <w:i/>
                <w:iCs/>
                <w:sz w:val="20"/>
              </w:rPr>
              <w:t>modified municipal waste combustion unit</w:t>
            </w:r>
            <w:r w:rsidRPr="000E6505">
              <w:rPr>
                <w:rFonts w:ascii="Arial" w:eastAsia="Times New Roman" w:hAnsi="Arial" w:cs="Arial"/>
                <w:sz w:val="20"/>
              </w:rPr>
              <w:t xml:space="preserve"> means a municipal waste combustion unit you have changed after June 6, 2001 and that meets one of two criteria: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cumulative cost of the changes over the life of the unit exceeds 50 percent of the original cost of building and installing the unit (not including the cost of land) updated to current costs.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Any physical change in the municipal waste combustion unit or change in the method of operating it that increases the emission level of any air pollutant for which new source performance standards have been established under section 129 or section 111 of the CAA. Increases in the emission level of any air pollutant are determined when the municipal waste combustion unit operates at 100 percent of its physical load capability and are measured downstream of all air pollution control devices. Load restrictions based on permits or other nonphysical operational restrictions cannot be considered in the determination.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Modular excess-air municipal waste combustion unit</w:t>
            </w:r>
            <w:r w:rsidRPr="000E6505">
              <w:rPr>
                <w:rFonts w:ascii="Arial" w:eastAsia="Times New Roman" w:hAnsi="Arial" w:cs="Arial"/>
                <w:sz w:val="20"/>
              </w:rPr>
              <w:t xml:space="preserve"> means a municipal waste combustion unit that combusts municipal solid </w:t>
            </w:r>
            <w:proofErr w:type="gramStart"/>
            <w:r w:rsidRPr="000E6505">
              <w:rPr>
                <w:rFonts w:ascii="Arial" w:eastAsia="Times New Roman" w:hAnsi="Arial" w:cs="Arial"/>
                <w:sz w:val="20"/>
              </w:rPr>
              <w:t>waste,</w:t>
            </w:r>
            <w:proofErr w:type="gramEnd"/>
            <w:r w:rsidRPr="000E6505">
              <w:rPr>
                <w:rFonts w:ascii="Arial" w:eastAsia="Times New Roman" w:hAnsi="Arial" w:cs="Arial"/>
                <w:sz w:val="20"/>
              </w:rPr>
              <w:t xml:space="preserve"> is not field-erected, and has multiple combustion chambers, all of which are designed to operate at conditions with combustion air amounts in excess of theoretical air requirements.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Modular starved-air municipal waste combustion unit</w:t>
            </w:r>
            <w:r w:rsidRPr="000E6505">
              <w:rPr>
                <w:rFonts w:ascii="Arial" w:eastAsia="Times New Roman" w:hAnsi="Arial" w:cs="Arial"/>
                <w:sz w:val="20"/>
              </w:rPr>
              <w:t xml:space="preserve"> means a municipal waste combustion unit that combusts municipal solid </w:t>
            </w:r>
            <w:proofErr w:type="gramStart"/>
            <w:r w:rsidRPr="000E6505">
              <w:rPr>
                <w:rFonts w:ascii="Arial" w:eastAsia="Times New Roman" w:hAnsi="Arial" w:cs="Arial"/>
                <w:sz w:val="20"/>
              </w:rPr>
              <w:t>waste,</w:t>
            </w:r>
            <w:proofErr w:type="gramEnd"/>
            <w:r w:rsidRPr="000E6505">
              <w:rPr>
                <w:rFonts w:ascii="Arial" w:eastAsia="Times New Roman" w:hAnsi="Arial" w:cs="Arial"/>
                <w:sz w:val="20"/>
              </w:rPr>
              <w:t xml:space="preserve"> is not field-erected, and has multiple combustion chambers in which the </w:t>
            </w:r>
            <w:r w:rsidRPr="000E6505">
              <w:rPr>
                <w:rFonts w:ascii="Arial" w:eastAsia="Times New Roman" w:hAnsi="Arial" w:cs="Arial"/>
                <w:sz w:val="20"/>
              </w:rPr>
              <w:lastRenderedPageBreak/>
              <w:t xml:space="preserve">primary combustion chamber is designed to operate at substoichiometric conditions.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Municipal solid waste</w:t>
            </w:r>
            <w:r w:rsidRPr="000E6505">
              <w:rPr>
                <w:rFonts w:ascii="Arial" w:eastAsia="Times New Roman" w:hAnsi="Arial" w:cs="Arial"/>
                <w:sz w:val="20"/>
              </w:rPr>
              <w:t xml:space="preserve"> or </w:t>
            </w:r>
            <w:r w:rsidRPr="000E6505">
              <w:rPr>
                <w:rFonts w:ascii="Arial" w:eastAsia="Times New Roman" w:hAnsi="Arial" w:cs="Arial"/>
                <w:i/>
                <w:iCs/>
                <w:sz w:val="20"/>
              </w:rPr>
              <w:t>municipal-type solid waste</w:t>
            </w:r>
            <w:r w:rsidRPr="000E6505">
              <w:rPr>
                <w:rFonts w:ascii="Arial" w:eastAsia="Times New Roman" w:hAnsi="Arial" w:cs="Arial"/>
                <w:sz w:val="20"/>
              </w:rPr>
              <w:t xml:space="preserve"> means household, commercial/retail, or institutional waste. Household waste includes material discarded by residential dwellings, hotels, motels, and other similar permanent or temporary housing. Commercial/retail waste includes material discarded by stores, offices, restaurants, warehouses, nonmanufacturing activities at industrial facilities, and other similar establishments or facilities. Institutional waste includes materials discarded by schools, by hospitals (nonmedical), by nonmanufacturing activities at prisons and government facilities, and other similar establishments or facilities. Household, commercial/retail, and institutional waste does include yard waste and refuse-derived fuel. Household, commercial/retail, and institutional waste does not include used oil; sewage sludge; wood pallets; construction, renovation, and demolition wastes (which include railroad ties and telephone poles); clean wood; industrial process or manufacturing wastes; medical waste; or motor vehicles (including motor vehicle parts or vehicle fluff).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Municipal waste combustion plant</w:t>
            </w:r>
            <w:r w:rsidRPr="000E6505">
              <w:rPr>
                <w:rFonts w:ascii="Arial" w:eastAsia="Times New Roman" w:hAnsi="Arial" w:cs="Arial"/>
                <w:sz w:val="20"/>
              </w:rPr>
              <w:t xml:space="preserve"> means one or more municipal waste combustion units at the same location as specified under Applicability (§60.1015(a</w:t>
            </w:r>
            <w:proofErr w:type="gramStart"/>
            <w:r w:rsidRPr="000E6505">
              <w:rPr>
                <w:rFonts w:ascii="Arial" w:eastAsia="Times New Roman" w:hAnsi="Arial" w:cs="Arial"/>
                <w:sz w:val="20"/>
              </w:rPr>
              <w:t>)and</w:t>
            </w:r>
            <w:proofErr w:type="gramEnd"/>
            <w:r w:rsidRPr="000E6505">
              <w:rPr>
                <w:rFonts w:ascii="Arial" w:eastAsia="Times New Roman" w:hAnsi="Arial" w:cs="Arial"/>
                <w:sz w:val="20"/>
              </w:rPr>
              <w:t xml:space="preserve"> (b)).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Municipal waste combustion plant capacity</w:t>
            </w:r>
            <w:r w:rsidRPr="000E6505">
              <w:rPr>
                <w:rFonts w:ascii="Arial" w:eastAsia="Times New Roman" w:hAnsi="Arial" w:cs="Arial"/>
                <w:sz w:val="20"/>
              </w:rPr>
              <w:t xml:space="preserve"> means the aggregate municipal waste combustion capacity of all municipal waste combustion units at the plant that are subject to subparts Ea or Eb of this part, or this subpart.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Municipal waste combustion unit</w:t>
            </w:r>
            <w:r w:rsidRPr="000E6505">
              <w:rPr>
                <w:rFonts w:ascii="Arial" w:eastAsia="Times New Roman" w:hAnsi="Arial" w:cs="Arial"/>
                <w:sz w:val="20"/>
              </w:rPr>
              <w:t xml:space="preserve"> means any setting or equipment that combusts solid, liquid, or gasified municipal solid waste including, but not limited to, field-erected combustion units (with or without heat recovery), modular combustion units (starved-air or excess-air), boilers (for example, steam generating units), furnaces (whether suspension-fired, grate-fired, mass-fired, air curtain incinerators, or fluidized bed-fired), and pyrolysis/combustion units. Two criteria further define municipal waste combustion units: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Municipal waste combustion units do not include pyrolysis or combustion units located at a plastics or rubber recycling unit as specified under Applicability (§60.1020(h) and (i)). Municipal waste combustion units also do not include cement kilns that combust municipal solid waste as specified under Applicability (§60.1020(j)). Municipal waste combustion units also do not include internal combustion engines, gas turbines, or other combustion devices that combust landfill gases collected by landfill gas collection systems.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The boundaries of a municipal waste combustion unit are defined as follows. The municipal waste combustion unit includes, but is not limited </w:t>
            </w:r>
            <w:proofErr w:type="gramStart"/>
            <w:r w:rsidRPr="000E6505">
              <w:rPr>
                <w:rFonts w:ascii="Arial" w:eastAsia="Times New Roman" w:hAnsi="Arial" w:cs="Arial"/>
                <w:sz w:val="20"/>
              </w:rPr>
              <w:t>to,</w:t>
            </w:r>
            <w:proofErr w:type="gramEnd"/>
            <w:r w:rsidRPr="000E6505">
              <w:rPr>
                <w:rFonts w:ascii="Arial" w:eastAsia="Times New Roman" w:hAnsi="Arial" w:cs="Arial"/>
                <w:sz w:val="20"/>
              </w:rPr>
              <w:t xml:space="preserve"> the municipal solid waste fuel feed system, grate system, flue gas system, bottom ash system, and the combustion unit water system. The municipal waste combustion unit does not include air pollution control equipment, the stack, water treatment equipment, or the turbine-generator set. The municipal waste combustion unit boundary starts at the municipal solid waste pit or hopper and extends through three areas: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 The combustion unit flue gas system, which ends immediately after the heat recovery equipment or, if there is no heat recovery equipment, immediately after the combustion chamber.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 The combustion unit bottom ash system, which ends at the truck loading station or similar equipment that transfers the ash to final disposal. It includes all ash handling systems connected to the bottom ash handling system.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(iii) The combustion unit water system, which starts at the feed water pump and ends at the piping that exits the steam drum or superheater.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Particulate matter</w:t>
            </w:r>
            <w:r w:rsidRPr="000E6505">
              <w:rPr>
                <w:rFonts w:ascii="Arial" w:eastAsia="Times New Roman" w:hAnsi="Arial" w:cs="Arial"/>
                <w:sz w:val="20"/>
              </w:rPr>
              <w:t xml:space="preserve"> means total particulate matter emitted from municipal waste combustion units as </w:t>
            </w:r>
            <w:r w:rsidRPr="000E6505">
              <w:rPr>
                <w:rFonts w:ascii="Arial" w:eastAsia="Times New Roman" w:hAnsi="Arial" w:cs="Arial"/>
                <w:sz w:val="20"/>
              </w:rPr>
              <w:lastRenderedPageBreak/>
              <w:t xml:space="preserve">measured using EPA Reference Method 5 in appendix A of this part and the procedures specified in §60.1300.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Plastics or rubber recycling unit</w:t>
            </w:r>
            <w:r w:rsidRPr="000E6505">
              <w:rPr>
                <w:rFonts w:ascii="Arial" w:eastAsia="Times New Roman" w:hAnsi="Arial" w:cs="Arial"/>
                <w:sz w:val="20"/>
              </w:rPr>
              <w:t xml:space="preserve"> means an integrated processing unit for which plastics, rubber, or rubber tires are the only feed materials (incidental contaminants may be in the feed materials). The feed materials are processed and marketed to become input feed stock for chemical plants or petroleum refineries. The following three criteria further define a plastics or rubber recycling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Each calendar quarter, the combined weight of the feed stock that a plastics or rubber recycling unit produces must be more than 70 percent of the combined weight of the plastics, rubber, and rubber tires that recycling unit processes.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The plastics, rubber, or rubber tires fed to the recycling unit may originate from separating or diverting plastics, rubber, or rubber tires from municipal or industrial solid waste. The feed materials may include manufacturing scraps, trimmings, and off-specification plastics, rubber, and rubber tire discards.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(3) The plastics, rubber, and rubber tires fed to the recycling unit may contain incidental contaminants (for example, paper labels on plastic bottles or metal rings on plastic bottle caps).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i/>
                <w:iCs/>
                <w:sz w:val="20"/>
              </w:rPr>
              <w:t>Potential hydrogen chloride emissions</w:t>
            </w:r>
            <w:r w:rsidRPr="000E6505">
              <w:rPr>
                <w:rFonts w:ascii="Arial" w:eastAsia="Times New Roman" w:hAnsi="Arial" w:cs="Arial"/>
                <w:sz w:val="20"/>
              </w:rPr>
              <w:t xml:space="preserve"> means</w:t>
            </w:r>
            <w:proofErr w:type="gramEnd"/>
            <w:r w:rsidRPr="000E6505">
              <w:rPr>
                <w:rFonts w:ascii="Arial" w:eastAsia="Times New Roman" w:hAnsi="Arial" w:cs="Arial"/>
                <w:sz w:val="20"/>
              </w:rPr>
              <w:t xml:space="preserve"> the level of emissions from a municipal waste combustion unit that would occur from combusting municipal solid waste without emission controls for acid gases.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i/>
                <w:iCs/>
                <w:sz w:val="20"/>
              </w:rPr>
              <w:t>Potential mercury emissions</w:t>
            </w:r>
            <w:r w:rsidRPr="000E6505">
              <w:rPr>
                <w:rFonts w:ascii="Arial" w:eastAsia="Times New Roman" w:hAnsi="Arial" w:cs="Arial"/>
                <w:sz w:val="20"/>
              </w:rPr>
              <w:t xml:space="preserve"> means</w:t>
            </w:r>
            <w:proofErr w:type="gramEnd"/>
            <w:r w:rsidRPr="000E6505">
              <w:rPr>
                <w:rFonts w:ascii="Arial" w:eastAsia="Times New Roman" w:hAnsi="Arial" w:cs="Arial"/>
                <w:sz w:val="20"/>
              </w:rPr>
              <w:t xml:space="preserve"> the level of emissions from a municipal waste combustion unit that would occur from combusting municipal solid waste without controls for mercury emissions.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Potential sulfur dioxide emissions</w:t>
            </w:r>
            <w:r w:rsidRPr="000E6505">
              <w:rPr>
                <w:rFonts w:ascii="Arial" w:eastAsia="Times New Roman" w:hAnsi="Arial" w:cs="Arial"/>
                <w:sz w:val="20"/>
              </w:rPr>
              <w:t xml:space="preserve"> means the level of emissions from a municipal waste combustion unit that would occur from combusting municipal solid waste without emission controls for acid gases.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Pyrolysis/combustion unit</w:t>
            </w:r>
            <w:r w:rsidRPr="000E6505">
              <w:rPr>
                <w:rFonts w:ascii="Arial" w:eastAsia="Times New Roman" w:hAnsi="Arial" w:cs="Arial"/>
                <w:sz w:val="20"/>
              </w:rPr>
              <w:t xml:space="preserve"> means a unit that produces gases, liquids, or solids by heating municipal solid waste. The gases, liquids, or solids produced are combusted and the emissions vented to the atmosphere.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Reconstruction</w:t>
            </w:r>
            <w:r w:rsidRPr="000E6505">
              <w:rPr>
                <w:rFonts w:ascii="Arial" w:eastAsia="Times New Roman" w:hAnsi="Arial" w:cs="Arial"/>
                <w:sz w:val="20"/>
              </w:rPr>
              <w:t xml:space="preserve"> means rebuilding a municipal waste combustion unit and meeting two criteria: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The reconstruction begins after June 6, 2001.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The cumulative cost of the construction over the life of the unit exceeds 50 percent of the original cost of building and installing the municipal waste combustion unit (not including land) updated to current costs (current dollars). To determine what systems are within the boundary of the municipal waste combustion unit used to calculate those costs, see the definition in this section of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Refractory unit</w:t>
            </w:r>
            <w:r w:rsidRPr="000E6505">
              <w:rPr>
                <w:rFonts w:ascii="Arial" w:eastAsia="Times New Roman" w:hAnsi="Arial" w:cs="Arial"/>
                <w:sz w:val="20"/>
              </w:rPr>
              <w:t xml:space="preserve"> or </w:t>
            </w:r>
            <w:r w:rsidRPr="000E6505">
              <w:rPr>
                <w:rFonts w:ascii="Arial" w:eastAsia="Times New Roman" w:hAnsi="Arial" w:cs="Arial"/>
                <w:i/>
                <w:iCs/>
                <w:sz w:val="20"/>
              </w:rPr>
              <w:t>refractory wall furnace</w:t>
            </w:r>
            <w:r w:rsidRPr="000E6505">
              <w:rPr>
                <w:rFonts w:ascii="Arial" w:eastAsia="Times New Roman" w:hAnsi="Arial" w:cs="Arial"/>
                <w:sz w:val="20"/>
              </w:rPr>
              <w:t xml:space="preserve"> means a municipal waste combustion unit that has no energy recovery (such as through a waterwall) in the furnace of the municipal waste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Refuse-derived fuel</w:t>
            </w:r>
            <w:r w:rsidRPr="000E6505">
              <w:rPr>
                <w:rFonts w:ascii="Arial" w:eastAsia="Times New Roman" w:hAnsi="Arial" w:cs="Arial"/>
                <w:sz w:val="20"/>
              </w:rPr>
              <w:t xml:space="preserve"> means a type of municipal solid waste produced by processing municipal solid waste through shredding and size classification. That includes all classes of refuse-derived fuel including two fuels: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(1) Low-density fluff refuse-derived fuel through densified refuse-derived fuel.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(2) Pelletized refuse-derived fuel.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Same location</w:t>
            </w:r>
            <w:r w:rsidRPr="000E6505">
              <w:rPr>
                <w:rFonts w:ascii="Arial" w:eastAsia="Times New Roman" w:hAnsi="Arial" w:cs="Arial"/>
                <w:sz w:val="20"/>
              </w:rPr>
              <w:t xml:space="preserve"> means the same or contiguous properties under common ownership or control, including those separated only by a street, road, highway, or other public right-of-way. Common ownership or control includes properties that are owned, leased, or operated by the same entity, parent entity, subsidiary, subdivision, or any combination thereof. Entities may include a municipality, other governmental unit, or any quasi-governmental authority (for example, a public utility district or regional authority for waste disposal).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Second calendar half</w:t>
            </w:r>
            <w:r w:rsidRPr="000E6505">
              <w:rPr>
                <w:rFonts w:ascii="Arial" w:eastAsia="Times New Roman" w:hAnsi="Arial" w:cs="Arial"/>
                <w:sz w:val="20"/>
              </w:rPr>
              <w:t xml:space="preserve"> means the period that starts on July 1 and ends on December 31 in any year.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Shift supervisor</w:t>
            </w:r>
            <w:r w:rsidRPr="000E6505">
              <w:rPr>
                <w:rFonts w:ascii="Arial" w:eastAsia="Times New Roman" w:hAnsi="Arial" w:cs="Arial"/>
                <w:sz w:val="20"/>
              </w:rPr>
              <w:t xml:space="preserve"> means the person who is in direct charge and control of operating a municipal waste combustion unit and who is responsible for onsite supervision, technical direction, management, and overall performance of the municipal waste combustion unit during an assigned shift.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Spreader stoker, mixed fuel-fired (coal/refuse-derived fuel) combustion unit</w:t>
            </w:r>
            <w:r w:rsidRPr="000E6505">
              <w:rPr>
                <w:rFonts w:ascii="Arial" w:eastAsia="Times New Roman" w:hAnsi="Arial" w:cs="Arial"/>
                <w:sz w:val="20"/>
              </w:rPr>
              <w:t xml:space="preserve"> means a municipal waste combustion unit that combusts coal and refuse-derived fuel simultaneously, in which coal is introduced to the combustion zone by a mechanism that throws the fuel onto a grate from above. Combustion takes place both in suspension and on the grate.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Standard conditions</w:t>
            </w:r>
            <w:r w:rsidRPr="000E6505">
              <w:rPr>
                <w:rFonts w:ascii="Arial" w:eastAsia="Times New Roman" w:hAnsi="Arial" w:cs="Arial"/>
                <w:sz w:val="20"/>
              </w:rPr>
              <w:t xml:space="preserve"> when referring to units of measure mean a temperature of 20 °C and a pressure of 101.3 kilopascals.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Startup period</w:t>
            </w:r>
            <w:r w:rsidRPr="000E6505">
              <w:rPr>
                <w:rFonts w:ascii="Arial" w:eastAsia="Times New Roman" w:hAnsi="Arial" w:cs="Arial"/>
                <w:sz w:val="20"/>
              </w:rPr>
              <w:t xml:space="preserve"> means the period when a municipal waste combustion unit begins the continuous combustion of municipal solid waste. It does not include any warmup period during which the municipal waste combustion unit combusts fossil fuel or other solid waste fuel but receives no municipal solid waste.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Stoker (refuse-derived fuel) combustion unit</w:t>
            </w:r>
            <w:r w:rsidRPr="000E6505">
              <w:rPr>
                <w:rFonts w:ascii="Arial" w:eastAsia="Times New Roman" w:hAnsi="Arial" w:cs="Arial"/>
                <w:sz w:val="20"/>
              </w:rPr>
              <w:t xml:space="preserve"> means a steam generating unit that combusts refuse-derived fuel in a semisuspension combusting mode, using air-fed distributors.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Total mass dioxins/furans</w:t>
            </w:r>
            <w:r w:rsidRPr="000E6505">
              <w:rPr>
                <w:rFonts w:ascii="Arial" w:eastAsia="Times New Roman" w:hAnsi="Arial" w:cs="Arial"/>
                <w:sz w:val="20"/>
              </w:rPr>
              <w:t xml:space="preserve"> or </w:t>
            </w:r>
            <w:r w:rsidRPr="000E6505">
              <w:rPr>
                <w:rFonts w:ascii="Arial" w:eastAsia="Times New Roman" w:hAnsi="Arial" w:cs="Arial"/>
                <w:i/>
                <w:iCs/>
                <w:sz w:val="20"/>
              </w:rPr>
              <w:t>total mass</w:t>
            </w:r>
            <w:r w:rsidRPr="000E6505">
              <w:rPr>
                <w:rFonts w:ascii="Arial" w:eastAsia="Times New Roman" w:hAnsi="Arial" w:cs="Arial"/>
                <w:sz w:val="20"/>
              </w:rPr>
              <w:t xml:space="preserve"> means the total mass of tetra-through octachlorinated dibenzo-p-dioxins and dibenzofurans as determined using EPA Reference Method 23 in appendix A of this part and the procedures specified in §60.1300.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Twenty-four hour daily average</w:t>
            </w:r>
            <w:r w:rsidRPr="000E6505">
              <w:rPr>
                <w:rFonts w:ascii="Arial" w:eastAsia="Times New Roman" w:hAnsi="Arial" w:cs="Arial"/>
                <w:sz w:val="20"/>
              </w:rPr>
              <w:t xml:space="preserve"> or </w:t>
            </w:r>
            <w:r w:rsidRPr="000E6505">
              <w:rPr>
                <w:rFonts w:ascii="Arial" w:eastAsia="Times New Roman" w:hAnsi="Arial" w:cs="Arial"/>
                <w:i/>
                <w:iCs/>
                <w:sz w:val="20"/>
              </w:rPr>
              <w:t>24-hour daily average</w:t>
            </w:r>
            <w:r w:rsidRPr="000E6505">
              <w:rPr>
                <w:rFonts w:ascii="Arial" w:eastAsia="Times New Roman" w:hAnsi="Arial" w:cs="Arial"/>
                <w:sz w:val="20"/>
              </w:rPr>
              <w:t xml:space="preserve"> means either the arithmetic mean or geometric mean (as specified) of all hourly emission concentrations when the municipal waste combustion unit operates and combusts municipal solid waste measured during the 24 hours between 12:00 midnight and the following midnight.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Untreated lumber</w:t>
            </w:r>
            <w:r w:rsidRPr="000E6505">
              <w:rPr>
                <w:rFonts w:ascii="Arial" w:eastAsia="Times New Roman" w:hAnsi="Arial" w:cs="Arial"/>
                <w:sz w:val="20"/>
              </w:rPr>
              <w:t xml:space="preserve"> means wood or wood products that have been cut or shaped and include wet, air-dried, and kiln-dried wood products. Untreated lumber does not include wood products that have been painted, pigment-stained, or pressure-treated by compounds such as chromate copper arsenate, pentachlorophenol, and creosote.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Waterwall furnace</w:t>
            </w:r>
            <w:r w:rsidRPr="000E6505">
              <w:rPr>
                <w:rFonts w:ascii="Arial" w:eastAsia="Times New Roman" w:hAnsi="Arial" w:cs="Arial"/>
                <w:sz w:val="20"/>
              </w:rPr>
              <w:t xml:space="preserve"> means a municipal waste combustion unit that has energy (heat) recovery in the furnace (for example, radiant heat transfer section) of the combustion unit.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i/>
                <w:iCs/>
                <w:sz w:val="20"/>
              </w:rPr>
              <w:t>Yard waste</w:t>
            </w:r>
            <w:r w:rsidRPr="000E6505">
              <w:rPr>
                <w:rFonts w:ascii="Arial" w:eastAsia="Times New Roman" w:hAnsi="Arial" w:cs="Arial"/>
                <w:sz w:val="20"/>
              </w:rPr>
              <w:t xml:space="preserve"> means grass, grass clippings, bushes, shrubs, and clippings from bushes and shrubs. They come from residential, commercial/retail, institutional, or industrial sources as part of maintaining yards or other private or public lands. Yard waste does not include two items: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lastRenderedPageBreak/>
              <w:t xml:space="preserve">(1) Construction, renovation, and demolition wastes that are exempt from the definition of “municipal solid waste” in this section.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rPr>
              <w:t xml:space="preserve">(2) Clean wood that is exempt from the definition of “municipal solid waste” in this section. </w:t>
            </w:r>
          </w:p>
          <w:p w:rsidR="000E6505" w:rsidRPr="000E6505" w:rsidRDefault="000E6505" w:rsidP="000E6505">
            <w:pPr>
              <w:spacing w:before="200" w:after="100" w:afterAutospacing="1" w:line="240" w:lineRule="auto"/>
              <w:rPr>
                <w:rFonts w:ascii="Arial" w:eastAsia="Times New Roman" w:hAnsi="Arial" w:cs="Arial"/>
                <w:sz w:val="20"/>
              </w:rPr>
            </w:pPr>
            <w:hyperlink r:id="rId233" w:anchor="_top" w:history="1">
              <w:r>
                <w:rPr>
                  <w:rFonts w:ascii="Arial" w:eastAsia="Times New Roman" w:hAnsi="Arial" w:cs="Arial"/>
                  <w:noProof/>
                  <w:color w:val="0000FF"/>
                  <w:sz w:val="17"/>
                  <w:szCs w:val="17"/>
                </w:rPr>
                <w:drawing>
                  <wp:inline distT="0" distB="0" distL="0" distR="0">
                    <wp:extent cx="152400" cy="152400"/>
                    <wp:effectExtent l="0" t="0" r="0" b="0"/>
                    <wp:docPr id="115" name="Picture 115"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10" w:name="40:7.0.1.1.1.90.167.95.17"/>
            <w:bookmarkEnd w:id="110"/>
            <w:r w:rsidRPr="000E6505">
              <w:rPr>
                <w:rFonts w:ascii="Arial" w:eastAsia="Times New Roman" w:hAnsi="Arial" w:cs="Arial"/>
                <w:b/>
                <w:bCs/>
                <w:sz w:val="20"/>
              </w:rPr>
              <w:t xml:space="preserve">Table 1 to Subpart AAAA of Part 60—Emission Limits for New Small Municipal Waste Combustion Units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622"/>
              <w:gridCol w:w="2586"/>
              <w:gridCol w:w="2249"/>
              <w:gridCol w:w="1887"/>
            </w:tblGrid>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For the following pollutants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You must meet the</w:t>
                  </w:r>
                  <w:r w:rsidRPr="000E6505">
                    <w:rPr>
                      <w:rFonts w:ascii="Arial" w:eastAsia="Times New Roman" w:hAnsi="Arial" w:cs="Arial"/>
                      <w:b/>
                      <w:bCs/>
                      <w:sz w:val="20"/>
                    </w:rPr>
                    <w:br/>
                    <w:t>following emission limits</w:t>
                  </w:r>
                  <w:r w:rsidRPr="000E6505">
                    <w:rPr>
                      <w:rFonts w:ascii="Arial" w:eastAsia="Times New Roman" w:hAnsi="Arial" w:cs="Arial"/>
                      <w:b/>
                      <w:bCs/>
                      <w:sz w:val="20"/>
                      <w:vertAlign w:val="superscript"/>
                    </w:rPr>
                    <w:t>a</w:t>
                  </w:r>
                  <w:r w:rsidRPr="000E6505">
                    <w:rPr>
                      <w:rFonts w:ascii="Arial" w:eastAsia="Times New Roman"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Using the following</w:t>
                  </w:r>
                  <w:r w:rsidRPr="000E6505">
                    <w:rPr>
                      <w:rFonts w:ascii="Arial" w:eastAsia="Times New Roman" w:hAnsi="Arial" w:cs="Arial"/>
                      <w:b/>
                      <w:bCs/>
                      <w:sz w:val="20"/>
                    </w:rPr>
                    <w:br/>
                    <w:t xml:space="preserve">averaging times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And determine compliance by the following methods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1. Organics </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Dioxins/Furans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13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3-run average (minimum run duration is 4 hours)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Stack test.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2. Metals: </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0.020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3-run average (run duration specified in test method)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Stack test.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0.20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3-run average (run duration specified in test method)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Stack test.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0.080 milligrams per dry standard cubic meter or 85 percent reduction of potential mercury emissions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3-run average (run duration specified in test method)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Stack test.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Opacity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10 percent</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Thirty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Stack test.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24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3-run average (run duration specified in test method)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Stack test.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 Acid Gases: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25 parts per million by dry volume or 95 percent reduction of potential hydrogen chloride emissions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3-run average (minimum run duration is 1 hour)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Stack test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Nitrogen Oxides (Class I units)</w:t>
                  </w:r>
                  <w:r w:rsidRPr="000E6505">
                    <w:rPr>
                      <w:rFonts w:ascii="Arial" w:eastAsia="Times New Roman" w:hAnsi="Arial" w:cs="Arial"/>
                      <w:sz w:val="20"/>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150 (180 for 1st year of operation)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24-hour daily block arithmetic average concentration</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Continuous emission monitoring system.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Nitrogen Oxides (Class II units)</w:t>
                  </w:r>
                  <w:r w:rsidRPr="000E6505">
                    <w:rPr>
                      <w:rFonts w:ascii="Arial" w:eastAsia="Times New Roman" w:hAnsi="Arial" w:cs="Arial"/>
                      <w:sz w:val="20"/>
                      <w:vertAlign w:val="superscript"/>
                    </w:rPr>
                    <w:t>c</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500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See footnote</w:t>
                  </w:r>
                  <w:r w:rsidRPr="000E6505">
                    <w:rPr>
                      <w:rFonts w:ascii="Arial" w:eastAsia="Times New Roman" w:hAnsi="Arial" w:cs="Arial"/>
                      <w:sz w:val="20"/>
                      <w:vertAlign w:val="superscript"/>
                    </w:rPr>
                    <w:t>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See footnote</w:t>
                  </w:r>
                  <w:r w:rsidRPr="000E6505">
                    <w:rPr>
                      <w:rFonts w:ascii="Arial" w:eastAsia="Times New Roman" w:hAnsi="Arial" w:cs="Arial"/>
                      <w:sz w:val="20"/>
                      <w:vertAlign w:val="superscript"/>
                    </w:rPr>
                    <w:t>d</w:t>
                  </w:r>
                  <w:r w:rsidRPr="000E6505">
                    <w:rPr>
                      <w:rFonts w:ascii="Arial" w:eastAsia="Times New Roman" w:hAnsi="Arial" w:cs="Arial"/>
                      <w:sz w:val="20"/>
                    </w:rPr>
                    <w:t xml:space="preserve">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30 parts per million by dry volume or 80 percent reduction of potential sulfur dioxide emissions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24-hour daily block geometric average concentration or percent reduction</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Continuous monitoring emission system.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lastRenderedPageBreak/>
                    <w:t xml:space="preserve">4. Other: </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Visible emissions for no more than 5 percent of hourly observation period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Three 1-hour observation periods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Visible emission test. </w:t>
                  </w:r>
                </w:p>
              </w:tc>
            </w:tr>
          </w:tbl>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sz w:val="20"/>
                <w:vertAlign w:val="superscript"/>
              </w:rPr>
              <w:t>a</w:t>
            </w:r>
            <w:r w:rsidRPr="000E6505">
              <w:rPr>
                <w:rFonts w:ascii="Arial" w:eastAsia="Times New Roman" w:hAnsi="Arial" w:cs="Arial"/>
                <w:sz w:val="20"/>
              </w:rPr>
              <w:t>All</w:t>
            </w:r>
            <w:proofErr w:type="gramEnd"/>
            <w:r w:rsidRPr="000E6505">
              <w:rPr>
                <w:rFonts w:ascii="Arial" w:eastAsia="Times New Roman" w:hAnsi="Arial" w:cs="Arial"/>
                <w:sz w:val="20"/>
              </w:rPr>
              <w:t xml:space="preserve"> emission limits (except for opacity) are measured at 7 percent oxygen.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vertAlign w:val="superscript"/>
              </w:rPr>
              <w:t>b</w:t>
            </w:r>
            <w:r w:rsidRPr="000E6505">
              <w:rPr>
                <w:rFonts w:ascii="Arial" w:eastAsia="Times New Roman" w:hAnsi="Arial" w:cs="Arial"/>
                <w:sz w:val="20"/>
              </w:rPr>
              <w:t xml:space="preserve">Class I units mean small municipal waste combustion units subject to this subpart that are located at municipal waste combustion plants with an aggregate plant combustion capacity more than 250 tons per day of municipal solid waste. See §60.1465 for definitions.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vertAlign w:val="superscript"/>
              </w:rPr>
              <w:t>c</w:t>
            </w:r>
            <w:r w:rsidRPr="000E6505">
              <w:rPr>
                <w:rFonts w:ascii="Arial" w:eastAsia="Times New Roman" w:hAnsi="Arial" w:cs="Arial"/>
                <w:sz w:val="20"/>
              </w:rPr>
              <w:t xml:space="preserve">Class II units mean small municipal waste combustion units subject to this subpart that are located at municipal waste combustion plants with an aggregate plant combustion capacity no more than 250 tons per day of municipal solid waste. See §60.1465 for definitions.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sz w:val="20"/>
                <w:vertAlign w:val="superscript"/>
              </w:rPr>
              <w:t>d</w:t>
            </w:r>
            <w:r w:rsidRPr="000E6505">
              <w:rPr>
                <w:rFonts w:ascii="Arial" w:eastAsia="Times New Roman" w:hAnsi="Arial" w:cs="Arial"/>
                <w:sz w:val="20"/>
              </w:rPr>
              <w:t>No</w:t>
            </w:r>
            <w:proofErr w:type="gramEnd"/>
            <w:r w:rsidRPr="000E6505">
              <w:rPr>
                <w:rFonts w:ascii="Arial" w:eastAsia="Times New Roman" w:hAnsi="Arial" w:cs="Arial"/>
                <w:sz w:val="20"/>
              </w:rPr>
              <w:t xml:space="preserve"> monitoring, testing, recordkeeping, or reporting is required to demonstrate compliance with the nitrogen oxides limit for Class II units.</w:t>
            </w:r>
          </w:p>
          <w:p w:rsidR="000E6505" w:rsidRPr="000E6505" w:rsidRDefault="000E6505" w:rsidP="000E6505">
            <w:pPr>
              <w:spacing w:before="200" w:after="100" w:afterAutospacing="1" w:line="240" w:lineRule="auto"/>
              <w:rPr>
                <w:rFonts w:ascii="Arial" w:eastAsia="Times New Roman" w:hAnsi="Arial" w:cs="Arial"/>
                <w:sz w:val="20"/>
              </w:rPr>
            </w:pPr>
            <w:hyperlink r:id="rId234" w:anchor="_top" w:history="1">
              <w:r>
                <w:rPr>
                  <w:rFonts w:ascii="Arial" w:eastAsia="Times New Roman" w:hAnsi="Arial" w:cs="Arial"/>
                  <w:noProof/>
                  <w:color w:val="0000FF"/>
                  <w:sz w:val="17"/>
                  <w:szCs w:val="17"/>
                </w:rPr>
                <w:drawing>
                  <wp:inline distT="0" distB="0" distL="0" distR="0">
                    <wp:extent cx="152400" cy="152400"/>
                    <wp:effectExtent l="0" t="0" r="0" b="0"/>
                    <wp:docPr id="116" name="Picture 116"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11" w:name="40:7.0.1.1.1.90.167.95.18"/>
            <w:bookmarkEnd w:id="111"/>
            <w:r w:rsidRPr="000E6505">
              <w:rPr>
                <w:rFonts w:ascii="Arial" w:eastAsia="Times New Roman" w:hAnsi="Arial" w:cs="Arial"/>
                <w:b/>
                <w:bCs/>
                <w:sz w:val="20"/>
              </w:rPr>
              <w:t xml:space="preserve">Table 2 to Subpart AAAA of Part 60—Carbon Monoxide Emission Limits for New Small Municipal Waste Combustion Units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135"/>
              <w:gridCol w:w="2466"/>
              <w:gridCol w:w="2743"/>
            </w:tblGrid>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For the following municipal waste combustion units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You must meet the following</w:t>
                  </w:r>
                  <w:r w:rsidRPr="000E6505">
                    <w:rPr>
                      <w:rFonts w:ascii="Arial" w:eastAsia="Times New Roman" w:hAnsi="Arial" w:cs="Arial"/>
                      <w:b/>
                      <w:bCs/>
                      <w:sz w:val="20"/>
                    </w:rPr>
                    <w:br/>
                    <w:t>carbon monoxide limits</w:t>
                  </w:r>
                  <w:r w:rsidRPr="000E6505">
                    <w:rPr>
                      <w:rFonts w:ascii="Arial" w:eastAsia="Times New Roman" w:hAnsi="Arial" w:cs="Arial"/>
                      <w:b/>
                      <w:bCs/>
                      <w:sz w:val="20"/>
                      <w:vertAlign w:val="superscript"/>
                    </w:rPr>
                    <w:t>a</w:t>
                  </w:r>
                  <w:r w:rsidRPr="000E6505">
                    <w:rPr>
                      <w:rFonts w:ascii="Arial" w:eastAsia="Times New Roman"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Using the following averaging times</w:t>
                  </w:r>
                  <w:r w:rsidRPr="000E6505">
                    <w:rPr>
                      <w:rFonts w:ascii="Arial" w:eastAsia="Times New Roman" w:hAnsi="Arial" w:cs="Arial"/>
                      <w:b/>
                      <w:bCs/>
                      <w:sz w:val="20"/>
                      <w:vertAlign w:val="superscript"/>
                    </w:rPr>
                    <w:t>b</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 Fluidized-bed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4-hour.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 Fluidized bed, mixed fuel, (wood/refuse-derived fuel)</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24-hour.</w:t>
                  </w:r>
                  <w:r w:rsidRPr="000E6505">
                    <w:rPr>
                      <w:rFonts w:ascii="Arial" w:eastAsia="Times New Roman" w:hAnsi="Arial" w:cs="Arial"/>
                      <w:sz w:val="20"/>
                      <w:vertAlign w:val="superscript"/>
                    </w:rPr>
                    <w:t>c</w:t>
                  </w:r>
                  <w:r w:rsidRPr="000E6505">
                    <w:rPr>
                      <w:rFonts w:ascii="Arial" w:eastAsia="Times New Roman" w:hAnsi="Arial" w:cs="Arial"/>
                      <w:sz w:val="20"/>
                    </w:rPr>
                    <w:t xml:space="preserve">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 Mass burn rotary refractory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4-hour.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4. Mass burn rotary waterwall</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24-hour.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5. Mass burn waterwall and refractory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4-hour.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6. Mixed fuel-fired (pulverized coal/refuse-derived fuel)</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150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4-hour.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7. Modular starved-air and excess air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50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4-hour.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8. Spreader stoker, mixed fuel-fired (coal/refuse-derived fuel)</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150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24-hour daily.</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9. Stoker, refuse-derived fuel</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150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24-hour daily.</w:t>
                  </w:r>
                </w:p>
              </w:tc>
            </w:tr>
          </w:tbl>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sz w:val="20"/>
                <w:vertAlign w:val="superscript"/>
              </w:rPr>
              <w:t>a</w:t>
            </w:r>
            <w:r w:rsidRPr="000E6505">
              <w:rPr>
                <w:rFonts w:ascii="Arial" w:eastAsia="Times New Roman" w:hAnsi="Arial" w:cs="Arial"/>
                <w:sz w:val="20"/>
              </w:rPr>
              <w:t>All</w:t>
            </w:r>
            <w:proofErr w:type="gramEnd"/>
            <w:r w:rsidRPr="000E6505">
              <w:rPr>
                <w:rFonts w:ascii="Arial" w:eastAsia="Times New Roman" w:hAnsi="Arial" w:cs="Arial"/>
                <w:sz w:val="20"/>
              </w:rPr>
              <w:t xml:space="preserve"> limits (except for opacity) are measured at 7 percent oxygen. Compliance is determined by </w:t>
            </w:r>
            <w:r w:rsidRPr="000E6505">
              <w:rPr>
                <w:rFonts w:ascii="Arial" w:eastAsia="Times New Roman" w:hAnsi="Arial" w:cs="Arial"/>
                <w:sz w:val="20"/>
              </w:rPr>
              <w:lastRenderedPageBreak/>
              <w:t xml:space="preserve">continuous emission monitoring systems.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sz w:val="20"/>
                <w:vertAlign w:val="superscript"/>
              </w:rPr>
              <w:t>b</w:t>
            </w:r>
            <w:r w:rsidRPr="000E6505">
              <w:rPr>
                <w:rFonts w:ascii="Arial" w:eastAsia="Times New Roman" w:hAnsi="Arial" w:cs="Arial"/>
                <w:sz w:val="20"/>
              </w:rPr>
              <w:t>Block</w:t>
            </w:r>
            <w:proofErr w:type="gramEnd"/>
            <w:r w:rsidRPr="000E6505">
              <w:rPr>
                <w:rFonts w:ascii="Arial" w:eastAsia="Times New Roman" w:hAnsi="Arial" w:cs="Arial"/>
                <w:sz w:val="20"/>
              </w:rPr>
              <w:t xml:space="preserve"> averages, arithmetic mean. See §60.1465 for definitions.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sz w:val="20"/>
                <w:vertAlign w:val="superscript"/>
              </w:rPr>
              <w:t>c</w:t>
            </w:r>
            <w:r w:rsidRPr="000E6505">
              <w:rPr>
                <w:rFonts w:ascii="Arial" w:eastAsia="Times New Roman" w:hAnsi="Arial" w:cs="Arial"/>
                <w:sz w:val="20"/>
              </w:rPr>
              <w:t>24-hour</w:t>
            </w:r>
            <w:proofErr w:type="gramEnd"/>
            <w:r w:rsidRPr="000E6505">
              <w:rPr>
                <w:rFonts w:ascii="Arial" w:eastAsia="Times New Roman" w:hAnsi="Arial" w:cs="Arial"/>
                <w:sz w:val="20"/>
              </w:rPr>
              <w:t xml:space="preserve"> block average, geometric mean. See §60.1465 for definitions.</w:t>
            </w:r>
          </w:p>
          <w:p w:rsidR="000E6505" w:rsidRPr="000E6505" w:rsidRDefault="000E6505" w:rsidP="000E6505">
            <w:pPr>
              <w:spacing w:before="200" w:after="100" w:afterAutospacing="1" w:line="240" w:lineRule="auto"/>
              <w:rPr>
                <w:rFonts w:ascii="Arial" w:eastAsia="Times New Roman" w:hAnsi="Arial" w:cs="Arial"/>
                <w:sz w:val="20"/>
              </w:rPr>
            </w:pPr>
            <w:hyperlink r:id="rId235" w:anchor="_top" w:history="1">
              <w:r>
                <w:rPr>
                  <w:rFonts w:ascii="Arial" w:eastAsia="Times New Roman" w:hAnsi="Arial" w:cs="Arial"/>
                  <w:noProof/>
                  <w:color w:val="0000FF"/>
                  <w:sz w:val="17"/>
                  <w:szCs w:val="17"/>
                </w:rPr>
                <w:drawing>
                  <wp:inline distT="0" distB="0" distL="0" distR="0">
                    <wp:extent cx="152400" cy="152400"/>
                    <wp:effectExtent l="0" t="0" r="0" b="0"/>
                    <wp:docPr id="117" name="Picture 117"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12" w:name="40:7.0.1.1.1.90.167.95.19"/>
            <w:bookmarkEnd w:id="112"/>
            <w:r w:rsidRPr="000E6505">
              <w:rPr>
                <w:rFonts w:ascii="Arial" w:eastAsia="Times New Roman" w:hAnsi="Arial" w:cs="Arial"/>
                <w:b/>
                <w:bCs/>
                <w:sz w:val="20"/>
              </w:rPr>
              <w:t xml:space="preserve">Table 3 of Subpart AAAA of Part 60—Requirements for Validating Continuous Emission Monitoring Systems (CEMS)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64"/>
              <w:gridCol w:w="3624"/>
              <w:gridCol w:w="3256"/>
            </w:tblGrid>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For the following continuous emission monitoring systems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Use the following methods in appendix A of this part to validate pollutant concentration levels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Use the following methods in appendix A of this part to measure oxygen (or carbon dioxide)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 Nitrogen Oxides (Class I units only)</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7, 7A, 7B, 7C, 7D, or 7E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3 or 3A.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 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6 or 6C</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3 or 3A.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10, 10A, or 10B</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3 or 3A. </w:t>
                  </w:r>
                </w:p>
              </w:tc>
            </w:tr>
          </w:tbl>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vertAlign w:val="superscript"/>
              </w:rPr>
              <w:t>a</w:t>
            </w:r>
            <w:r w:rsidRPr="000E6505">
              <w:rPr>
                <w:rFonts w:ascii="Arial" w:eastAsia="Times New Roman" w:hAnsi="Arial" w:cs="Arial"/>
                <w:sz w:val="20"/>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0E6505" w:rsidRPr="000E6505" w:rsidRDefault="000E6505" w:rsidP="000E6505">
            <w:pPr>
              <w:spacing w:before="200" w:after="100" w:afterAutospacing="1" w:line="240" w:lineRule="auto"/>
              <w:rPr>
                <w:rFonts w:ascii="Arial" w:eastAsia="Times New Roman" w:hAnsi="Arial" w:cs="Arial"/>
                <w:sz w:val="20"/>
              </w:rPr>
            </w:pPr>
            <w:hyperlink r:id="rId236" w:anchor="_top" w:history="1">
              <w:r>
                <w:rPr>
                  <w:rFonts w:ascii="Arial" w:eastAsia="Times New Roman" w:hAnsi="Arial" w:cs="Arial"/>
                  <w:noProof/>
                  <w:color w:val="0000FF"/>
                  <w:sz w:val="17"/>
                  <w:szCs w:val="17"/>
                </w:rPr>
                <w:drawing>
                  <wp:inline distT="0" distB="0" distL="0" distR="0">
                    <wp:extent cx="152400" cy="152400"/>
                    <wp:effectExtent l="0" t="0" r="0" b="0"/>
                    <wp:docPr id="118" name="Picture 118"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13" w:name="40:7.0.1.1.1.90.167.95.20"/>
            <w:bookmarkEnd w:id="113"/>
            <w:r w:rsidRPr="000E6505">
              <w:rPr>
                <w:rFonts w:ascii="Arial" w:eastAsia="Times New Roman" w:hAnsi="Arial" w:cs="Arial"/>
                <w:b/>
                <w:bCs/>
                <w:sz w:val="20"/>
              </w:rPr>
              <w:t xml:space="preserve">Table 4 of Subpart AAAA of Part 60—Requirements for Continuous Emission Monitoring Systems (CEMS)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19"/>
              <w:gridCol w:w="4086"/>
              <w:gridCol w:w="2293"/>
              <w:gridCol w:w="1646"/>
            </w:tblGrid>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For the following pollutants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Use the following span values for your CEMS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Use the following performance specifications in appendix B of this part for your CEMS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If needed to meet minimum</w:t>
                  </w:r>
                  <w:r w:rsidRPr="000E6505">
                    <w:rPr>
                      <w:rFonts w:ascii="Arial" w:eastAsia="Times New Roman" w:hAnsi="Arial" w:cs="Arial"/>
                      <w:b/>
                      <w:bCs/>
                      <w:sz w:val="20"/>
                    </w:rPr>
                    <w:br/>
                    <w:t>data requirements, use the</w:t>
                  </w:r>
                  <w:r w:rsidRPr="000E6505">
                    <w:rPr>
                      <w:rFonts w:ascii="Arial" w:eastAsia="Times New Roman" w:hAnsi="Arial" w:cs="Arial"/>
                      <w:b/>
                      <w:bCs/>
                      <w:sz w:val="20"/>
                    </w:rPr>
                    <w:br/>
                    <w:t>following alternate methods</w:t>
                  </w:r>
                  <w:r w:rsidRPr="000E6505">
                    <w:rPr>
                      <w:rFonts w:ascii="Arial" w:eastAsia="Times New Roman" w:hAnsi="Arial" w:cs="Arial"/>
                      <w:b/>
                      <w:bCs/>
                      <w:sz w:val="20"/>
                    </w:rPr>
                    <w:br/>
                    <w:t>in appendix A of this part</w:t>
                  </w:r>
                  <w:r w:rsidRPr="000E6505">
                    <w:rPr>
                      <w:rFonts w:ascii="Arial" w:eastAsia="Times New Roman" w:hAnsi="Arial" w:cs="Arial"/>
                      <w:b/>
                      <w:bCs/>
                      <w:sz w:val="20"/>
                    </w:rPr>
                    <w:br/>
                    <w:t xml:space="preserve">to collect data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 Opacity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100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P.S. 1</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9.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 Nitrogen Oxides (Class I units only)</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Control device outlet: 125 percent of the maximum expected hourly potential nitrogen oxides emissions of the municipal waste combustion unit</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P.S. 2</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7E.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 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Inlet to control device: 125 percent of the maximum expected sulfur dioxide emissions of the municipal waste combustion unit. Control device outlet: 50 percent of the </w:t>
                  </w:r>
                  <w:r w:rsidRPr="000E6505">
                    <w:rPr>
                      <w:rFonts w:ascii="Arial" w:eastAsia="Times New Roman" w:hAnsi="Arial" w:cs="Arial"/>
                      <w:sz w:val="20"/>
                    </w:rPr>
                    <w:lastRenderedPageBreak/>
                    <w:t>maximum expected hourly potential sulfur dioxide emissions of the municipal waste combustion unit</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lastRenderedPageBreak/>
                    <w:t>P.S. 2</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6C.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lastRenderedPageBreak/>
                    <w:t>4.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125 percent of the maximum expected hourly potential carbon with monoxide emissions of the municipal waste combustion unit</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P.S. 4A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10 alternative interference trap.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5. Oxygen or Carbon Dioxide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25 percent oxygen or 25 percent carbon dioxide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P.S. 3</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Method 3A or 3B. </w:t>
                  </w:r>
                </w:p>
              </w:tc>
            </w:tr>
          </w:tbl>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r w:rsidRPr="000E6505">
              <w:rPr>
                <w:rFonts w:ascii="Arial" w:eastAsia="Times New Roman" w:hAnsi="Arial" w:cs="Arial"/>
                <w:sz w:val="20"/>
                <w:vertAlign w:val="superscript"/>
              </w:rPr>
              <w:t>a</w:t>
            </w:r>
            <w:r w:rsidRPr="000E6505">
              <w:rPr>
                <w:rFonts w:ascii="Arial" w:eastAsia="Times New Roman" w:hAnsi="Arial" w:cs="Arial"/>
                <w:sz w:val="20"/>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0E6505" w:rsidRPr="000E6505" w:rsidRDefault="000E6505" w:rsidP="000E6505">
            <w:pPr>
              <w:spacing w:before="200" w:after="100" w:afterAutospacing="1" w:line="240" w:lineRule="auto"/>
              <w:rPr>
                <w:rFonts w:ascii="Arial" w:eastAsia="Times New Roman" w:hAnsi="Arial" w:cs="Arial"/>
                <w:sz w:val="20"/>
              </w:rPr>
            </w:pPr>
            <w:hyperlink r:id="rId237" w:anchor="_top" w:history="1">
              <w:r>
                <w:rPr>
                  <w:rFonts w:ascii="Arial" w:eastAsia="Times New Roman" w:hAnsi="Arial" w:cs="Arial"/>
                  <w:noProof/>
                  <w:color w:val="0000FF"/>
                  <w:sz w:val="17"/>
                  <w:szCs w:val="17"/>
                </w:rPr>
                <w:drawing>
                  <wp:inline distT="0" distB="0" distL="0" distR="0">
                    <wp:extent cx="152400" cy="152400"/>
                    <wp:effectExtent l="0" t="0" r="0" b="0"/>
                    <wp:docPr id="119" name="Picture 119"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Back to Top</w:t>
              </w:r>
            </w:hyperlink>
          </w:p>
          <w:p w:rsidR="000E6505" w:rsidRPr="000E6505" w:rsidRDefault="000E6505" w:rsidP="000E6505">
            <w:pPr>
              <w:spacing w:before="200" w:after="100" w:line="240" w:lineRule="auto"/>
              <w:outlineLvl w:val="1"/>
              <w:rPr>
                <w:rFonts w:ascii="Arial" w:eastAsia="Times New Roman" w:hAnsi="Arial" w:cs="Arial"/>
                <w:b/>
                <w:bCs/>
                <w:sz w:val="20"/>
              </w:rPr>
            </w:pPr>
            <w:bookmarkStart w:id="114" w:name="40:7.0.1.1.1.90.167.95.21"/>
            <w:bookmarkEnd w:id="114"/>
            <w:r w:rsidRPr="000E6505">
              <w:rPr>
                <w:rFonts w:ascii="Arial" w:eastAsia="Times New Roman" w:hAnsi="Arial" w:cs="Arial"/>
                <w:b/>
                <w:bCs/>
                <w:sz w:val="20"/>
              </w:rPr>
              <w:t xml:space="preserve">Table 5 of Subpart AAAA of Part 60—Requirements for Stack Tests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27"/>
              <w:gridCol w:w="1754"/>
              <w:gridCol w:w="1989"/>
              <w:gridCol w:w="3174"/>
            </w:tblGrid>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To measure the following pollutants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Use the following methods in appendix A of this part to determine the sampling location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Use the methods in appendix A of this part to measure pollutant concentration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E6505" w:rsidRPr="000E6505" w:rsidRDefault="000E6505" w:rsidP="000E6505">
                  <w:pPr>
                    <w:spacing w:after="0" w:line="240" w:lineRule="auto"/>
                    <w:rPr>
                      <w:rFonts w:ascii="Arial" w:eastAsia="Times New Roman" w:hAnsi="Arial" w:cs="Arial"/>
                      <w:b/>
                      <w:bCs/>
                      <w:sz w:val="20"/>
                    </w:rPr>
                  </w:pPr>
                  <w:r w:rsidRPr="000E6505">
                    <w:rPr>
                      <w:rFonts w:ascii="Arial" w:eastAsia="Times New Roman" w:hAnsi="Arial" w:cs="Arial"/>
                      <w:b/>
                      <w:bCs/>
                      <w:sz w:val="20"/>
                    </w:rPr>
                    <w:t xml:space="preserve">Also note the following additional information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1. Organics: </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Dioxins/Furans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1</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23</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The minimum sampling time must be 4 hours per test run while the municipal waste combustion unit is operating at full load.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2. Metals: </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1</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29</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Compliance testing must be performed while the municipal waste combustion unit is operating at full load.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1</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29</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Compliance testing must be performed while the municipal waste combustion unit is operating at full load.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1</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29</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Compliance testing must be performed while the municipal waste combustion unit is operating at full load.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Opacity</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9</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9</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Use Method 9 to determine compliance with opacity limit. 3-hour observation period (thirty 6-minute averages).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lastRenderedPageBreak/>
                    <w:t>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1</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5</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The minimum sample Matter volume must be 1.0 cubic meters. The probe and filter holder heating systems in the sample train must be set to provide a gas temperature no greater than 160 ±14 °C. The minimum sampling time is 1 hour.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3. Acid Gases:</w:t>
                  </w:r>
                  <w:r w:rsidRPr="000E6505">
                    <w:rPr>
                      <w:rFonts w:ascii="Arial" w:eastAsia="Times New Roman" w:hAnsi="Arial" w:cs="Arial"/>
                      <w:sz w:val="20"/>
                      <w:vertAlign w:val="superscript"/>
                    </w:rPr>
                    <w:t>b</w:t>
                  </w:r>
                  <w:r w:rsidRPr="000E6505">
                    <w:rPr>
                      <w:rFonts w:ascii="Arial" w:eastAsia="Times New Roman" w:hAnsi="Arial" w:cs="Arial"/>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1</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26 or 26A</w:t>
                  </w:r>
                  <w:r w:rsidRPr="000E6505">
                    <w:rPr>
                      <w:rFonts w:ascii="Arial" w:eastAsia="Times New Roman"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Test runs must be at least 1 hour long while the municipal waste combustion unit is operating at full load. </w:t>
                  </w: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4. Other:</w:t>
                  </w:r>
                  <w:r w:rsidRPr="000E6505">
                    <w:rPr>
                      <w:rFonts w:ascii="Arial" w:eastAsia="Times New Roman" w:hAnsi="Arial" w:cs="Arial"/>
                      <w:sz w:val="20"/>
                      <w:vertAlign w:val="superscript"/>
                    </w:rPr>
                    <w:t>b</w:t>
                  </w:r>
                  <w:r w:rsidRPr="000E6505">
                    <w:rPr>
                      <w:rFonts w:ascii="Arial" w:eastAsia="Times New Roman" w:hAnsi="Arial" w:cs="Arial"/>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p>
              </w:tc>
            </w:tr>
            <w:tr w:rsidR="000E6505" w:rsidRPr="000E6505" w:rsidTr="000E6505">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Not applicable</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Method 22 (visible emissions)</w:t>
                  </w:r>
                </w:p>
              </w:tc>
              <w:tc>
                <w:tcPr>
                  <w:tcW w:w="0" w:type="auto"/>
                  <w:tcBorders>
                    <w:top w:val="single" w:sz="6" w:space="0" w:color="000000"/>
                    <w:left w:val="single" w:sz="6" w:space="0" w:color="000000"/>
                    <w:bottom w:val="single" w:sz="6" w:space="0" w:color="000000"/>
                    <w:right w:val="single" w:sz="6" w:space="0" w:color="000000"/>
                  </w:tcBorders>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t xml:space="preserve">The three 1-hour observation period must include periods when the facility transfers fugitive ash from the municipal waste combustion unit to the area where the fugitive ash is stored or loaded into containers or trucks. </w:t>
                  </w:r>
                </w:p>
              </w:tc>
            </w:tr>
          </w:tbl>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sz w:val="20"/>
                <w:vertAlign w:val="superscript"/>
              </w:rPr>
              <w:t>a</w:t>
            </w:r>
            <w:r w:rsidRPr="000E6505">
              <w:rPr>
                <w:rFonts w:ascii="Arial" w:eastAsia="Times New Roman" w:hAnsi="Arial" w:cs="Arial"/>
                <w:sz w:val="20"/>
              </w:rPr>
              <w:t>Must</w:t>
            </w:r>
            <w:proofErr w:type="gramEnd"/>
            <w:r w:rsidRPr="000E6505">
              <w:rPr>
                <w:rFonts w:ascii="Arial" w:eastAsia="Times New Roman" w:hAnsi="Arial" w:cs="Arial"/>
                <w:sz w:val="20"/>
              </w:rPr>
              <w:t xml:space="preserve"> simultaneously measure oxygen (or carbon dioxide) using Method 3A or 3B in appendix A of this part. </w:t>
            </w:r>
          </w:p>
          <w:p w:rsidR="000E6505" w:rsidRPr="000E6505" w:rsidRDefault="000E6505" w:rsidP="000E6505">
            <w:pPr>
              <w:spacing w:before="100" w:beforeAutospacing="1" w:after="100" w:afterAutospacing="1" w:line="240" w:lineRule="auto"/>
              <w:ind w:firstLine="480"/>
              <w:rPr>
                <w:rFonts w:ascii="Arial" w:eastAsia="Times New Roman" w:hAnsi="Arial" w:cs="Arial"/>
                <w:sz w:val="20"/>
              </w:rPr>
            </w:pPr>
            <w:proofErr w:type="gramStart"/>
            <w:r w:rsidRPr="000E6505">
              <w:rPr>
                <w:rFonts w:ascii="Arial" w:eastAsia="Times New Roman" w:hAnsi="Arial" w:cs="Arial"/>
                <w:sz w:val="20"/>
                <w:vertAlign w:val="superscript"/>
              </w:rPr>
              <w:t>b</w:t>
            </w:r>
            <w:r w:rsidRPr="000E6505">
              <w:rPr>
                <w:rFonts w:ascii="Arial" w:eastAsia="Times New Roman" w:hAnsi="Arial" w:cs="Arial"/>
                <w:sz w:val="20"/>
              </w:rPr>
              <w:t>Use</w:t>
            </w:r>
            <w:proofErr w:type="gramEnd"/>
            <w:r w:rsidRPr="000E6505">
              <w:rPr>
                <w:rFonts w:ascii="Arial" w:eastAsia="Times New Roman" w:hAnsi="Arial" w:cs="Arial"/>
                <w:sz w:val="20"/>
              </w:rPr>
              <w:t xml:space="preserve"> CEMS to test sulfur dioxide, nitrogen oxide, and carbon monoxide. Stack tests are not required except for quality assurance requirements in appendix F of this part.</w:t>
            </w:r>
          </w:p>
          <w:p w:rsidR="000E6505" w:rsidRPr="000E6505" w:rsidRDefault="000E6505" w:rsidP="000E6505">
            <w:pPr>
              <w:spacing w:before="200" w:after="100" w:afterAutospacing="1" w:line="240" w:lineRule="auto"/>
              <w:rPr>
                <w:rFonts w:ascii="Arial" w:eastAsia="Times New Roman" w:hAnsi="Arial" w:cs="Arial"/>
                <w:sz w:val="20"/>
              </w:rPr>
            </w:pPr>
            <w:hyperlink r:id="rId238" w:anchor="_top" w:history="1">
              <w:r>
                <w:rPr>
                  <w:rFonts w:ascii="Arial" w:eastAsia="Times New Roman" w:hAnsi="Arial" w:cs="Arial"/>
                  <w:noProof/>
                  <w:color w:val="0000FF"/>
                  <w:sz w:val="17"/>
                  <w:szCs w:val="17"/>
                </w:rPr>
                <w:drawing>
                  <wp:inline distT="0" distB="0" distL="0" distR="0">
                    <wp:extent cx="152400" cy="152400"/>
                    <wp:effectExtent l="0" t="0" r="0" b="0"/>
                    <wp:docPr id="120" name="Picture 120" descr="return arrow">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return arrow">
                              <a:hlinkClick r:id="rId120"/>
                            </pic:cNvPr>
                            <pic:cNvPicPr>
                              <a:picLocks noChangeAspect="1" noChangeArrowheads="1"/>
                            </pic:cNvPicPr>
                          </pic:nvPicPr>
                          <pic:blipFill>
                            <a:blip r:embed="rId1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6505">
                <w:rPr>
                  <w:rFonts w:ascii="Arial" w:eastAsia="Times New Roman" w:hAnsi="Arial" w:cs="Arial"/>
                  <w:color w:val="0000FF"/>
                  <w:sz w:val="17"/>
                </w:rPr>
                <w:t>Bac</w:t>
              </w:r>
              <w:r w:rsidRPr="000E6505">
                <w:rPr>
                  <w:rFonts w:ascii="Arial" w:eastAsia="Times New Roman" w:hAnsi="Arial" w:cs="Arial"/>
                  <w:color w:val="0000FF"/>
                  <w:sz w:val="17"/>
                </w:rPr>
                <w:t>k</w:t>
              </w:r>
              <w:r w:rsidRPr="000E6505">
                <w:rPr>
                  <w:rFonts w:ascii="Arial" w:eastAsia="Times New Roman" w:hAnsi="Arial" w:cs="Arial"/>
                  <w:color w:val="0000FF"/>
                  <w:sz w:val="17"/>
                </w:rPr>
                <w:t xml:space="preserve"> to Top</w:t>
              </w:r>
            </w:hyperlink>
          </w:p>
          <w:tbl>
            <w:tblPr>
              <w:tblW w:w="5000" w:type="pct"/>
              <w:jc w:val="center"/>
              <w:tblCellSpacing w:w="15" w:type="dxa"/>
              <w:tblCellMar>
                <w:top w:w="15" w:type="dxa"/>
                <w:left w:w="15" w:type="dxa"/>
                <w:bottom w:w="15" w:type="dxa"/>
                <w:right w:w="15" w:type="dxa"/>
              </w:tblCellMar>
              <w:tblLook w:val="04A0"/>
            </w:tblPr>
            <w:tblGrid>
              <w:gridCol w:w="9360"/>
            </w:tblGrid>
            <w:tr w:rsidR="000E6505" w:rsidRPr="000E6505" w:rsidTr="000E6505">
              <w:trPr>
                <w:tblCellSpacing w:w="15" w:type="dxa"/>
                <w:jc w:val="center"/>
              </w:trPr>
              <w:tc>
                <w:tcPr>
                  <w:tcW w:w="0" w:type="auto"/>
                  <w:hideMark/>
                </w:tcPr>
                <w:p w:rsidR="000E6505" w:rsidRPr="000E6505" w:rsidRDefault="000E6505" w:rsidP="000E6505">
                  <w:pPr>
                    <w:spacing w:after="0" w:line="240" w:lineRule="auto"/>
                    <w:rPr>
                      <w:rFonts w:ascii="Arial" w:eastAsia="Times New Roman" w:hAnsi="Arial" w:cs="Arial"/>
                      <w:sz w:val="20"/>
                    </w:rPr>
                  </w:pPr>
                  <w:r w:rsidRPr="000E6505">
                    <w:rPr>
                      <w:rFonts w:ascii="Arial" w:eastAsia="Times New Roman" w:hAnsi="Arial" w:cs="Arial"/>
                      <w:sz w:val="20"/>
                    </w:rPr>
                    <w:pict>
                      <v:rect id="_x0000_i1145" style="width:327.6pt;height:1.5pt" o:hrpct="700" o:hrstd="t" o:hr="t" fillcolor="#aca899" stroked="f"/>
                    </w:pict>
                  </w:r>
                </w:p>
                <w:p w:rsidR="000E6505" w:rsidRPr="000E6505" w:rsidRDefault="000E6505" w:rsidP="000E6505">
                  <w:pPr>
                    <w:spacing w:after="0" w:line="240" w:lineRule="auto"/>
                    <w:rPr>
                      <w:rFonts w:ascii="Arial" w:eastAsia="Times New Roman" w:hAnsi="Arial" w:cs="Arial"/>
                      <w:sz w:val="20"/>
                    </w:rPr>
                  </w:pPr>
                </w:p>
                <w:p w:rsidR="000E6505" w:rsidRPr="000E6505" w:rsidRDefault="000E6505" w:rsidP="000E6505">
                  <w:pPr>
                    <w:spacing w:before="100" w:beforeAutospacing="1" w:after="240" w:line="240" w:lineRule="auto"/>
                    <w:rPr>
                      <w:rFonts w:ascii="Arial" w:eastAsia="Times New Roman" w:hAnsi="Arial" w:cs="Arial"/>
                      <w:sz w:val="17"/>
                      <w:szCs w:val="17"/>
                    </w:rPr>
                  </w:pPr>
                  <w:r w:rsidRPr="000E6505">
                    <w:rPr>
                      <w:rFonts w:ascii="Arial" w:eastAsia="Times New Roman" w:hAnsi="Arial" w:cs="Arial"/>
                      <w:sz w:val="17"/>
                      <w:szCs w:val="17"/>
                    </w:rPr>
                    <w:t xml:space="preserve">For questions or comments regarding e-CFR editorial content, features, or design, email </w:t>
                  </w:r>
                  <w:hyperlink r:id="rId239" w:history="1">
                    <w:r w:rsidRPr="000E6505">
                      <w:rPr>
                        <w:rFonts w:ascii="Arial" w:eastAsia="Times New Roman" w:hAnsi="Arial" w:cs="Arial"/>
                        <w:color w:val="0000FF"/>
                        <w:sz w:val="17"/>
                      </w:rPr>
                      <w:t>ecfr@nara.gov</w:t>
                    </w:r>
                  </w:hyperlink>
                  <w:r w:rsidRPr="000E6505">
                    <w:rPr>
                      <w:rFonts w:ascii="Arial" w:eastAsia="Times New Roman" w:hAnsi="Arial" w:cs="Arial"/>
                      <w:sz w:val="17"/>
                      <w:szCs w:val="17"/>
                    </w:rPr>
                    <w:t>.</w:t>
                  </w:r>
                  <w:r w:rsidRPr="000E6505">
                    <w:rPr>
                      <w:rFonts w:ascii="Arial" w:eastAsia="Times New Roman" w:hAnsi="Arial" w:cs="Arial"/>
                      <w:sz w:val="17"/>
                      <w:szCs w:val="17"/>
                    </w:rPr>
                    <w:br/>
                    <w:t xml:space="preserve">For questions concerning e-CFR programming and delivery issues, email </w:t>
                  </w:r>
                  <w:hyperlink r:id="rId240" w:history="1">
                    <w:r w:rsidRPr="000E6505">
                      <w:rPr>
                        <w:rFonts w:ascii="Arial" w:eastAsia="Times New Roman" w:hAnsi="Arial" w:cs="Arial"/>
                        <w:color w:val="0000FF"/>
                        <w:sz w:val="17"/>
                      </w:rPr>
                      <w:t>webteam@gpo.gov</w:t>
                    </w:r>
                  </w:hyperlink>
                  <w:r w:rsidRPr="000E6505">
                    <w:rPr>
                      <w:rFonts w:ascii="Arial" w:eastAsia="Times New Roman" w:hAnsi="Arial" w:cs="Arial"/>
                      <w:sz w:val="17"/>
                      <w:szCs w:val="17"/>
                    </w:rPr>
                    <w:t>.</w:t>
                  </w:r>
                </w:p>
              </w:tc>
            </w:tr>
          </w:tbl>
          <w:p w:rsidR="000E6505" w:rsidRPr="000E6505" w:rsidRDefault="000E6505" w:rsidP="000E6505">
            <w:pPr>
              <w:spacing w:after="0" w:line="240" w:lineRule="auto"/>
              <w:rPr>
                <w:rFonts w:ascii="Arial" w:eastAsia="Times New Roman" w:hAnsi="Arial" w:cs="Arial"/>
                <w:sz w:val="20"/>
              </w:rPr>
            </w:pPr>
          </w:p>
        </w:tc>
      </w:tr>
    </w:tbl>
    <w:p w:rsidR="000E6505" w:rsidRPr="000E6505" w:rsidRDefault="000E6505" w:rsidP="000E6505">
      <w:pPr>
        <w:shd w:val="clear" w:color="auto" w:fill="FFFFFF"/>
        <w:spacing w:after="0" w:line="240" w:lineRule="auto"/>
        <w:rPr>
          <w:rFonts w:ascii="Arial" w:eastAsia="Times New Roman" w:hAnsi="Arial" w:cs="Arial"/>
          <w:color w:val="000000"/>
          <w:sz w:val="15"/>
          <w:szCs w:val="15"/>
          <w:lang/>
        </w:rPr>
      </w:pPr>
      <w:r w:rsidRPr="000E6505">
        <w:rPr>
          <w:rFonts w:ascii="Arial" w:eastAsia="Times New Roman" w:hAnsi="Arial" w:cs="Arial"/>
          <w:color w:val="000000"/>
          <w:sz w:val="15"/>
          <w:szCs w:val="15"/>
          <w:lang/>
        </w:rPr>
        <w:lastRenderedPageBreak/>
        <w:t xml:space="preserve">732 North Capitol </w:t>
      </w:r>
      <w:proofErr w:type="gramStart"/>
      <w:r w:rsidRPr="000E6505">
        <w:rPr>
          <w:rFonts w:ascii="Arial" w:eastAsia="Times New Roman" w:hAnsi="Arial" w:cs="Arial"/>
          <w:color w:val="000000"/>
          <w:sz w:val="15"/>
          <w:szCs w:val="15"/>
          <w:lang/>
        </w:rPr>
        <w:t>Street</w:t>
      </w:r>
      <w:proofErr w:type="gramEnd"/>
      <w:r w:rsidRPr="000E6505">
        <w:rPr>
          <w:rFonts w:ascii="Arial" w:eastAsia="Times New Roman" w:hAnsi="Arial" w:cs="Arial"/>
          <w:color w:val="000000"/>
          <w:sz w:val="15"/>
          <w:szCs w:val="15"/>
          <w:lang/>
        </w:rPr>
        <w:t xml:space="preserve">, NW, Washington, DC 20401-0001     202.512.1800 </w:t>
      </w:r>
    </w:p>
    <w:p w:rsidR="000E6505" w:rsidRPr="000E6505" w:rsidRDefault="000E6505" w:rsidP="000E6505">
      <w:pPr>
        <w:shd w:val="clear" w:color="auto" w:fill="FFFFFF"/>
        <w:spacing w:line="240" w:lineRule="auto"/>
        <w:jc w:val="right"/>
        <w:rPr>
          <w:rFonts w:ascii="Arial" w:eastAsia="Times New Roman" w:hAnsi="Arial" w:cs="Arial"/>
          <w:color w:val="000000"/>
          <w:sz w:val="15"/>
          <w:szCs w:val="15"/>
          <w:lang/>
        </w:rPr>
      </w:pPr>
      <w:hyperlink r:id="rId241" w:history="1">
        <w:r w:rsidRPr="000E6505">
          <w:rPr>
            <w:rFonts w:ascii="Arial" w:eastAsia="Times New Roman" w:hAnsi="Arial" w:cs="Arial"/>
            <w:color w:val="0066CC"/>
            <w:sz w:val="15"/>
            <w:szCs w:val="15"/>
            <w:lang/>
          </w:rPr>
          <w:t>Privacy</w:t>
        </w:r>
      </w:hyperlink>
      <w:r w:rsidRPr="000E6505">
        <w:rPr>
          <w:rFonts w:ascii="Arial" w:eastAsia="Times New Roman" w:hAnsi="Arial" w:cs="Arial"/>
          <w:color w:val="000000"/>
          <w:sz w:val="15"/>
          <w:szCs w:val="15"/>
          <w:lang/>
        </w:rPr>
        <w:t xml:space="preserve">   |   </w:t>
      </w:r>
      <w:hyperlink r:id="rId242" w:history="1">
        <w:r w:rsidRPr="000E6505">
          <w:rPr>
            <w:rFonts w:ascii="Arial" w:eastAsia="Times New Roman" w:hAnsi="Arial" w:cs="Arial"/>
            <w:color w:val="0066CC"/>
            <w:sz w:val="15"/>
            <w:szCs w:val="15"/>
            <w:lang/>
          </w:rPr>
          <w:t>Important Links</w:t>
        </w:r>
      </w:hyperlink>
      <w:r w:rsidRPr="000E6505">
        <w:rPr>
          <w:rFonts w:ascii="Arial" w:eastAsia="Times New Roman" w:hAnsi="Arial" w:cs="Arial"/>
          <w:color w:val="000000"/>
          <w:sz w:val="15"/>
          <w:szCs w:val="15"/>
          <w:lang/>
        </w:rPr>
        <w:t xml:space="preserve">   |   </w:t>
      </w:r>
      <w:hyperlink r:id="rId243" w:history="1">
        <w:r w:rsidRPr="000E6505">
          <w:rPr>
            <w:rFonts w:ascii="Arial" w:eastAsia="Times New Roman" w:hAnsi="Arial" w:cs="Arial"/>
            <w:color w:val="0066CC"/>
            <w:sz w:val="15"/>
            <w:szCs w:val="15"/>
            <w:lang/>
          </w:rPr>
          <w:t>Accessibility</w:t>
        </w:r>
      </w:hyperlink>
      <w:r w:rsidRPr="000E6505">
        <w:rPr>
          <w:rFonts w:ascii="Arial" w:eastAsia="Times New Roman" w:hAnsi="Arial" w:cs="Arial"/>
          <w:color w:val="000000"/>
          <w:sz w:val="15"/>
          <w:szCs w:val="15"/>
          <w:lang/>
        </w:rPr>
        <w:t xml:space="preserve">   |   </w:t>
      </w:r>
      <w:hyperlink r:id="rId244" w:history="1">
        <w:r w:rsidRPr="000E6505">
          <w:rPr>
            <w:rFonts w:ascii="Arial" w:eastAsia="Times New Roman" w:hAnsi="Arial" w:cs="Arial"/>
            <w:color w:val="0066CC"/>
            <w:sz w:val="15"/>
            <w:szCs w:val="15"/>
            <w:lang/>
          </w:rPr>
          <w:t>Sitemap</w:t>
        </w:r>
      </w:hyperlink>
      <w:r w:rsidRPr="000E6505">
        <w:rPr>
          <w:rFonts w:ascii="Arial" w:eastAsia="Times New Roman" w:hAnsi="Arial" w:cs="Arial"/>
          <w:color w:val="000000"/>
          <w:sz w:val="15"/>
          <w:szCs w:val="15"/>
          <w:lang/>
        </w:rPr>
        <w:t xml:space="preserve">   |   </w:t>
      </w:r>
      <w:hyperlink r:id="rId245" w:history="1">
        <w:r w:rsidRPr="000E6505">
          <w:rPr>
            <w:rFonts w:ascii="Arial" w:eastAsia="Times New Roman" w:hAnsi="Arial" w:cs="Arial"/>
            <w:color w:val="0066CC"/>
            <w:sz w:val="15"/>
            <w:szCs w:val="15"/>
            <w:lang/>
          </w:rPr>
          <w:t>COOP</w:t>
        </w:r>
      </w:hyperlink>
      <w:r w:rsidRPr="000E6505">
        <w:rPr>
          <w:rFonts w:ascii="Arial" w:eastAsia="Times New Roman" w:hAnsi="Arial" w:cs="Arial"/>
          <w:color w:val="000000"/>
          <w:sz w:val="15"/>
          <w:szCs w:val="15"/>
          <w:lang/>
        </w:rPr>
        <w:t xml:space="preserve"> </w:t>
      </w:r>
    </w:p>
    <w:p w:rsidR="001F55B9" w:rsidRPr="000E6505" w:rsidRDefault="001F55B9">
      <w:pPr>
        <w:rPr>
          <w:lang/>
        </w:rPr>
      </w:pPr>
    </w:p>
    <w:sectPr w:rsidR="001F55B9" w:rsidRPr="000E6505" w:rsidSect="001F55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E6505"/>
    <w:rsid w:val="000E6505"/>
    <w:rsid w:val="001D7193"/>
    <w:rsid w:val="001F55B9"/>
    <w:rsid w:val="002540F1"/>
    <w:rsid w:val="00EB6C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5B9"/>
  </w:style>
  <w:style w:type="paragraph" w:styleId="Heading1">
    <w:name w:val="heading 1"/>
    <w:basedOn w:val="Normal"/>
    <w:link w:val="Heading1Char"/>
    <w:uiPriority w:val="9"/>
    <w:qFormat/>
    <w:rsid w:val="000E6505"/>
    <w:pPr>
      <w:spacing w:before="200" w:after="100" w:line="240" w:lineRule="auto"/>
      <w:jc w:val="center"/>
      <w:outlineLvl w:val="0"/>
    </w:pPr>
    <w:rPr>
      <w:rFonts w:eastAsia="Times New Roman"/>
      <w:b/>
      <w:bCs/>
      <w:kern w:val="36"/>
      <w:sz w:val="20"/>
    </w:rPr>
  </w:style>
  <w:style w:type="paragraph" w:styleId="Heading2">
    <w:name w:val="heading 2"/>
    <w:basedOn w:val="Normal"/>
    <w:link w:val="Heading2Char"/>
    <w:uiPriority w:val="9"/>
    <w:qFormat/>
    <w:rsid w:val="000E6505"/>
    <w:pPr>
      <w:spacing w:before="200" w:after="100" w:line="240" w:lineRule="auto"/>
      <w:jc w:val="center"/>
      <w:outlineLvl w:val="1"/>
    </w:pPr>
    <w:rPr>
      <w:rFonts w:eastAsia="Times New Roman"/>
      <w:b/>
      <w:bCs/>
      <w:sz w:val="20"/>
    </w:rPr>
  </w:style>
  <w:style w:type="paragraph" w:styleId="Heading3">
    <w:name w:val="heading 3"/>
    <w:basedOn w:val="Normal"/>
    <w:link w:val="Heading3Char"/>
    <w:uiPriority w:val="9"/>
    <w:qFormat/>
    <w:rsid w:val="000E6505"/>
    <w:pPr>
      <w:spacing w:before="200" w:after="100" w:line="240" w:lineRule="auto"/>
      <w:jc w:val="center"/>
      <w:outlineLvl w:val="2"/>
    </w:pPr>
    <w:rPr>
      <w:rFonts w:eastAsia="Times New Roman"/>
      <w:b/>
      <w:bCs/>
      <w:sz w:val="20"/>
    </w:rPr>
  </w:style>
  <w:style w:type="paragraph" w:styleId="Heading4">
    <w:name w:val="heading 4"/>
    <w:basedOn w:val="Normal"/>
    <w:link w:val="Heading4Char"/>
    <w:uiPriority w:val="9"/>
    <w:qFormat/>
    <w:rsid w:val="000E6505"/>
    <w:pPr>
      <w:spacing w:before="200" w:after="100" w:line="240" w:lineRule="auto"/>
      <w:jc w:val="center"/>
      <w:outlineLvl w:val="3"/>
    </w:pPr>
    <w:rPr>
      <w:rFonts w:eastAsia="Times New Roman"/>
      <w:b/>
      <w:bCs/>
      <w:sz w:val="20"/>
    </w:rPr>
  </w:style>
  <w:style w:type="paragraph" w:styleId="Heading5">
    <w:name w:val="heading 5"/>
    <w:basedOn w:val="Normal"/>
    <w:link w:val="Heading5Char"/>
    <w:uiPriority w:val="9"/>
    <w:qFormat/>
    <w:rsid w:val="000E6505"/>
    <w:pPr>
      <w:spacing w:before="200" w:after="100" w:line="240" w:lineRule="auto"/>
      <w:jc w:val="center"/>
      <w:outlineLvl w:val="4"/>
    </w:pPr>
    <w:rPr>
      <w:rFonts w:eastAsia="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505"/>
    <w:rPr>
      <w:rFonts w:eastAsia="Times New Roman"/>
      <w:b/>
      <w:bCs/>
      <w:kern w:val="36"/>
      <w:sz w:val="20"/>
    </w:rPr>
  </w:style>
  <w:style w:type="character" w:customStyle="1" w:styleId="Heading2Char">
    <w:name w:val="Heading 2 Char"/>
    <w:basedOn w:val="DefaultParagraphFont"/>
    <w:link w:val="Heading2"/>
    <w:uiPriority w:val="9"/>
    <w:rsid w:val="000E6505"/>
    <w:rPr>
      <w:rFonts w:eastAsia="Times New Roman"/>
      <w:b/>
      <w:bCs/>
      <w:sz w:val="20"/>
    </w:rPr>
  </w:style>
  <w:style w:type="character" w:customStyle="1" w:styleId="Heading3Char">
    <w:name w:val="Heading 3 Char"/>
    <w:basedOn w:val="DefaultParagraphFont"/>
    <w:link w:val="Heading3"/>
    <w:uiPriority w:val="9"/>
    <w:rsid w:val="000E6505"/>
    <w:rPr>
      <w:rFonts w:eastAsia="Times New Roman"/>
      <w:b/>
      <w:bCs/>
      <w:sz w:val="20"/>
    </w:rPr>
  </w:style>
  <w:style w:type="character" w:customStyle="1" w:styleId="Heading4Char">
    <w:name w:val="Heading 4 Char"/>
    <w:basedOn w:val="DefaultParagraphFont"/>
    <w:link w:val="Heading4"/>
    <w:uiPriority w:val="9"/>
    <w:rsid w:val="000E6505"/>
    <w:rPr>
      <w:rFonts w:eastAsia="Times New Roman"/>
      <w:b/>
      <w:bCs/>
      <w:sz w:val="20"/>
    </w:rPr>
  </w:style>
  <w:style w:type="character" w:customStyle="1" w:styleId="Heading5Char">
    <w:name w:val="Heading 5 Char"/>
    <w:basedOn w:val="DefaultParagraphFont"/>
    <w:link w:val="Heading5"/>
    <w:uiPriority w:val="9"/>
    <w:rsid w:val="000E6505"/>
    <w:rPr>
      <w:rFonts w:eastAsia="Times New Roman"/>
      <w:b/>
      <w:bCs/>
      <w:sz w:val="20"/>
    </w:rPr>
  </w:style>
  <w:style w:type="character" w:styleId="Hyperlink">
    <w:name w:val="Hyperlink"/>
    <w:basedOn w:val="DefaultParagraphFont"/>
    <w:uiPriority w:val="99"/>
    <w:semiHidden/>
    <w:unhideWhenUsed/>
    <w:rsid w:val="000E6505"/>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0E6505"/>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0E6505"/>
    <w:pPr>
      <w:spacing w:before="100" w:beforeAutospacing="1" w:after="100" w:afterAutospacing="1" w:line="240" w:lineRule="auto"/>
      <w:ind w:firstLine="480"/>
    </w:pPr>
    <w:rPr>
      <w:rFonts w:eastAsia="Times New Roman"/>
      <w:sz w:val="24"/>
      <w:szCs w:val="24"/>
    </w:rPr>
  </w:style>
  <w:style w:type="paragraph" w:customStyle="1" w:styleId="fullcenter">
    <w:name w:val="fullcenter"/>
    <w:basedOn w:val="Normal"/>
    <w:rsid w:val="000E6505"/>
    <w:pPr>
      <w:spacing w:before="100" w:beforeAutospacing="1" w:after="100" w:afterAutospacing="1" w:line="240" w:lineRule="auto"/>
      <w:jc w:val="center"/>
    </w:pPr>
    <w:rPr>
      <w:rFonts w:eastAsia="Times New Roman"/>
      <w:sz w:val="24"/>
      <w:szCs w:val="24"/>
    </w:rPr>
  </w:style>
  <w:style w:type="paragraph" w:customStyle="1" w:styleId="linktoamn">
    <w:name w:val="linktoamn"/>
    <w:basedOn w:val="Normal"/>
    <w:rsid w:val="000E6505"/>
    <w:pPr>
      <w:spacing w:before="100" w:beforeAutospacing="1" w:after="100" w:afterAutospacing="1" w:line="240" w:lineRule="auto"/>
      <w:jc w:val="center"/>
    </w:pPr>
    <w:rPr>
      <w:rFonts w:eastAsia="Times New Roman"/>
      <w:sz w:val="24"/>
      <w:szCs w:val="24"/>
    </w:rPr>
  </w:style>
  <w:style w:type="paragraph" w:customStyle="1" w:styleId="bfrpage">
    <w:name w:val="bfrpage"/>
    <w:basedOn w:val="Normal"/>
    <w:rsid w:val="000E6505"/>
    <w:pPr>
      <w:spacing w:before="100" w:beforeAutospacing="1" w:after="100" w:afterAutospacing="1" w:line="240" w:lineRule="auto"/>
      <w:jc w:val="center"/>
    </w:pPr>
    <w:rPr>
      <w:rFonts w:eastAsia="Times New Roman"/>
      <w:sz w:val="24"/>
      <w:szCs w:val="24"/>
    </w:rPr>
  </w:style>
  <w:style w:type="paragraph" w:customStyle="1" w:styleId="breghd">
    <w:name w:val="breghd"/>
    <w:basedOn w:val="Normal"/>
    <w:rsid w:val="000E6505"/>
    <w:pPr>
      <w:spacing w:before="100" w:beforeAutospacing="1" w:after="100" w:afterAutospacing="1" w:line="240" w:lineRule="auto"/>
    </w:pPr>
    <w:rPr>
      <w:rFonts w:eastAsia="Times New Roman"/>
      <w:sz w:val="24"/>
      <w:szCs w:val="24"/>
    </w:rPr>
  </w:style>
  <w:style w:type="paragraph" w:customStyle="1" w:styleId="effdates">
    <w:name w:val="effdates"/>
    <w:basedOn w:val="Normal"/>
    <w:rsid w:val="000E6505"/>
    <w:pPr>
      <w:spacing w:before="100" w:beforeAutospacing="1" w:after="100" w:afterAutospacing="1" w:line="240" w:lineRule="auto"/>
      <w:ind w:firstLine="480"/>
    </w:pPr>
    <w:rPr>
      <w:rFonts w:eastAsia="Times New Roman"/>
      <w:smallCaps/>
      <w:sz w:val="24"/>
      <w:szCs w:val="24"/>
    </w:rPr>
  </w:style>
  <w:style w:type="paragraph" w:customStyle="1" w:styleId="updated">
    <w:name w:val="updated"/>
    <w:basedOn w:val="Normal"/>
    <w:rsid w:val="000E6505"/>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0E6505"/>
    <w:pPr>
      <w:spacing w:before="100" w:beforeAutospacing="1" w:after="100" w:afterAutospacing="1" w:line="240" w:lineRule="auto"/>
    </w:pPr>
    <w:rPr>
      <w:rFonts w:eastAsia="Times New Roman"/>
      <w:sz w:val="17"/>
      <w:szCs w:val="17"/>
    </w:rPr>
  </w:style>
  <w:style w:type="paragraph" w:customStyle="1" w:styleId="top-menu">
    <w:name w:val="top-menu"/>
    <w:basedOn w:val="Normal"/>
    <w:rsid w:val="000E6505"/>
    <w:pPr>
      <w:spacing w:before="100" w:beforeAutospacing="1" w:after="100" w:afterAutospacing="1" w:line="240" w:lineRule="auto"/>
      <w:ind w:firstLine="480"/>
    </w:pPr>
    <w:rPr>
      <w:rFonts w:eastAsia="Times New Roman"/>
      <w:sz w:val="24"/>
      <w:szCs w:val="24"/>
    </w:rPr>
  </w:style>
  <w:style w:type="paragraph" w:customStyle="1" w:styleId="top-menu-pipe">
    <w:name w:val="top-menu-pipe"/>
    <w:basedOn w:val="Normal"/>
    <w:rsid w:val="000E6505"/>
    <w:pPr>
      <w:spacing w:after="0" w:line="240" w:lineRule="auto"/>
      <w:ind w:firstLine="480"/>
    </w:pPr>
    <w:rPr>
      <w:rFonts w:eastAsia="Times New Roman"/>
      <w:sz w:val="24"/>
      <w:szCs w:val="24"/>
    </w:rPr>
  </w:style>
  <w:style w:type="paragraph" w:customStyle="1" w:styleId="clear">
    <w:name w:val="clear"/>
    <w:basedOn w:val="Normal"/>
    <w:rsid w:val="000E6505"/>
    <w:pPr>
      <w:spacing w:before="100" w:beforeAutospacing="1" w:after="100" w:afterAutospacing="1" w:line="240" w:lineRule="auto"/>
      <w:ind w:firstLine="480"/>
    </w:pPr>
    <w:rPr>
      <w:rFonts w:eastAsia="Times New Roman"/>
      <w:sz w:val="24"/>
      <w:szCs w:val="24"/>
    </w:rPr>
  </w:style>
  <w:style w:type="paragraph" w:customStyle="1" w:styleId="hits">
    <w:name w:val="hits"/>
    <w:basedOn w:val="Normal"/>
    <w:rsid w:val="000E6505"/>
    <w:pPr>
      <w:spacing w:before="100" w:beforeAutospacing="1" w:after="100" w:afterAutospacing="1" w:line="240" w:lineRule="auto"/>
      <w:ind w:firstLine="480"/>
    </w:pPr>
    <w:rPr>
      <w:rFonts w:eastAsia="Times New Roman"/>
      <w:color w:val="FF0000"/>
      <w:sz w:val="24"/>
      <w:szCs w:val="24"/>
    </w:rPr>
  </w:style>
  <w:style w:type="paragraph" w:customStyle="1" w:styleId="noticelink">
    <w:name w:val="noticelink"/>
    <w:basedOn w:val="Normal"/>
    <w:rsid w:val="000E6505"/>
    <w:pPr>
      <w:spacing w:before="100" w:beforeAutospacing="1" w:after="100" w:afterAutospacing="1" w:line="240" w:lineRule="auto"/>
      <w:ind w:firstLine="480"/>
    </w:pPr>
    <w:rPr>
      <w:rFonts w:eastAsia="Times New Roman"/>
      <w:color w:val="0000FF"/>
      <w:sz w:val="21"/>
      <w:szCs w:val="21"/>
      <w:u w:val="single"/>
    </w:rPr>
  </w:style>
  <w:style w:type="paragraph" w:customStyle="1" w:styleId="menu-home-title">
    <w:name w:val="menu-home-title"/>
    <w:basedOn w:val="Normal"/>
    <w:rsid w:val="000E6505"/>
    <w:pPr>
      <w:spacing w:before="100" w:beforeAutospacing="1" w:after="100" w:afterAutospacing="1" w:line="240" w:lineRule="auto"/>
      <w:ind w:firstLine="480"/>
    </w:pPr>
    <w:rPr>
      <w:rFonts w:eastAsia="Times New Roman"/>
      <w:color w:val="000000"/>
      <w:sz w:val="24"/>
      <w:szCs w:val="24"/>
    </w:rPr>
  </w:style>
  <w:style w:type="paragraph" w:customStyle="1" w:styleId="menu-customers-title">
    <w:name w:val="menu-customers-title"/>
    <w:basedOn w:val="Normal"/>
    <w:rsid w:val="000E6505"/>
    <w:pPr>
      <w:spacing w:before="100" w:beforeAutospacing="1" w:after="100" w:afterAutospacing="1" w:line="240" w:lineRule="auto"/>
      <w:ind w:firstLine="480"/>
    </w:pPr>
    <w:rPr>
      <w:rFonts w:eastAsia="Times New Roman"/>
      <w:color w:val="666633"/>
      <w:sz w:val="24"/>
      <w:szCs w:val="24"/>
    </w:rPr>
  </w:style>
  <w:style w:type="paragraph" w:customStyle="1" w:styleId="menu-vendors-title">
    <w:name w:val="menu-vendors-title"/>
    <w:basedOn w:val="Normal"/>
    <w:rsid w:val="000E6505"/>
    <w:pPr>
      <w:spacing w:before="100" w:beforeAutospacing="1" w:after="100" w:afterAutospacing="1" w:line="240" w:lineRule="auto"/>
      <w:ind w:firstLine="480"/>
    </w:pPr>
    <w:rPr>
      <w:rFonts w:eastAsia="Times New Roman"/>
      <w:color w:val="333366"/>
      <w:sz w:val="24"/>
      <w:szCs w:val="24"/>
    </w:rPr>
  </w:style>
  <w:style w:type="paragraph" w:customStyle="1" w:styleId="menu-libraries-title">
    <w:name w:val="menu-libraries-title"/>
    <w:basedOn w:val="Normal"/>
    <w:rsid w:val="000E6505"/>
    <w:pPr>
      <w:spacing w:before="100" w:beforeAutospacing="1" w:after="100" w:afterAutospacing="1" w:line="240" w:lineRule="auto"/>
      <w:ind w:firstLine="480"/>
    </w:pPr>
    <w:rPr>
      <w:rFonts w:eastAsia="Times New Roman"/>
      <w:color w:val="006666"/>
      <w:sz w:val="24"/>
      <w:szCs w:val="24"/>
    </w:rPr>
  </w:style>
  <w:style w:type="paragraph" w:customStyle="1" w:styleId="two-col-layout-table">
    <w:name w:val="two-col-layout-table"/>
    <w:basedOn w:val="Normal"/>
    <w:rsid w:val="000E6505"/>
    <w:pPr>
      <w:pBdr>
        <w:top w:val="single" w:sz="36" w:space="0" w:color="FFFFFF"/>
      </w:pBdr>
      <w:shd w:val="clear" w:color="auto" w:fill="FFFFFF"/>
      <w:spacing w:before="100" w:beforeAutospacing="1" w:after="100" w:afterAutospacing="1" w:line="240" w:lineRule="auto"/>
      <w:ind w:firstLine="480"/>
    </w:pPr>
    <w:rPr>
      <w:rFonts w:eastAsia="Times New Roman"/>
      <w:sz w:val="24"/>
      <w:szCs w:val="24"/>
    </w:rPr>
  </w:style>
  <w:style w:type="paragraph" w:customStyle="1" w:styleId="two-col-layout-left">
    <w:name w:val="two-col-layout-left"/>
    <w:basedOn w:val="Normal"/>
    <w:rsid w:val="000E6505"/>
    <w:pPr>
      <w:pBdr>
        <w:right w:val="single" w:sz="6" w:space="4" w:color="CCCCCC"/>
      </w:pBdr>
      <w:spacing w:before="100" w:beforeAutospacing="1" w:after="100" w:afterAutospacing="1" w:line="240" w:lineRule="auto"/>
      <w:ind w:firstLine="480"/>
    </w:pPr>
    <w:rPr>
      <w:rFonts w:eastAsia="Times New Roman"/>
      <w:sz w:val="24"/>
      <w:szCs w:val="24"/>
    </w:rPr>
  </w:style>
  <w:style w:type="paragraph" w:customStyle="1" w:styleId="menu-search-title">
    <w:name w:val="menu-search-title"/>
    <w:basedOn w:val="Normal"/>
    <w:rsid w:val="000E6505"/>
    <w:pPr>
      <w:spacing w:before="100" w:beforeAutospacing="1" w:after="100" w:afterAutospacing="1" w:line="240" w:lineRule="auto"/>
      <w:ind w:firstLine="480"/>
    </w:pPr>
    <w:rPr>
      <w:rFonts w:eastAsia="Times New Roman"/>
      <w:color w:val="990033"/>
      <w:sz w:val="24"/>
      <w:szCs w:val="24"/>
    </w:rPr>
  </w:style>
  <w:style w:type="paragraph" w:customStyle="1" w:styleId="left-menu-title">
    <w:name w:val="left-menu-title"/>
    <w:basedOn w:val="Normal"/>
    <w:rsid w:val="000E6505"/>
    <w:pPr>
      <w:spacing w:before="100" w:beforeAutospacing="1" w:after="100" w:afterAutospacing="1" w:line="210" w:lineRule="atLeast"/>
      <w:ind w:firstLine="480"/>
    </w:pPr>
    <w:rPr>
      <w:rFonts w:eastAsia="Times New Roman"/>
      <w:b/>
      <w:bCs/>
      <w:spacing w:val="15"/>
      <w:sz w:val="17"/>
      <w:szCs w:val="17"/>
    </w:rPr>
  </w:style>
  <w:style w:type="paragraph" w:customStyle="1" w:styleId="left-menu-sublinks">
    <w:name w:val="left-menu-sublinks"/>
    <w:basedOn w:val="Normal"/>
    <w:rsid w:val="000E6505"/>
    <w:pPr>
      <w:spacing w:before="100" w:beforeAutospacing="1" w:after="100" w:afterAutospacing="1" w:line="240" w:lineRule="auto"/>
      <w:ind w:left="150" w:firstLine="480"/>
    </w:pPr>
    <w:rPr>
      <w:rFonts w:eastAsia="Times New Roman"/>
      <w:sz w:val="24"/>
      <w:szCs w:val="24"/>
    </w:rPr>
  </w:style>
  <w:style w:type="paragraph" w:customStyle="1" w:styleId="sidebar-title-bar">
    <w:name w:val="sidebar-title-bar"/>
    <w:basedOn w:val="Normal"/>
    <w:rsid w:val="000E6505"/>
    <w:pPr>
      <w:shd w:val="clear" w:color="auto" w:fill="999999"/>
      <w:spacing w:before="100" w:beforeAutospacing="1" w:after="100" w:afterAutospacing="1" w:line="240" w:lineRule="auto"/>
      <w:ind w:firstLine="480"/>
    </w:pPr>
    <w:rPr>
      <w:rFonts w:eastAsia="Times New Roman"/>
      <w:color w:val="FFFFFF"/>
      <w:spacing w:val="20"/>
      <w:sz w:val="17"/>
      <w:szCs w:val="17"/>
    </w:rPr>
  </w:style>
  <w:style w:type="paragraph" w:customStyle="1" w:styleId="collection-latest-resources-mask">
    <w:name w:val="collection-latest-resources-mask"/>
    <w:basedOn w:val="Normal"/>
    <w:rsid w:val="000E6505"/>
    <w:pPr>
      <w:spacing w:before="150" w:after="100" w:afterAutospacing="1" w:line="240" w:lineRule="auto"/>
      <w:ind w:firstLine="480"/>
    </w:pPr>
    <w:rPr>
      <w:rFonts w:eastAsia="Times New Roman"/>
      <w:sz w:val="24"/>
      <w:szCs w:val="24"/>
    </w:rPr>
  </w:style>
  <w:style w:type="paragraph" w:customStyle="1" w:styleId="vert-spacer-450">
    <w:name w:val="vert-spacer-450"/>
    <w:basedOn w:val="Normal"/>
    <w:rsid w:val="000E6505"/>
    <w:pPr>
      <w:spacing w:before="100" w:beforeAutospacing="1" w:after="100" w:afterAutospacing="1" w:line="240" w:lineRule="auto"/>
      <w:ind w:firstLine="480"/>
    </w:pPr>
    <w:rPr>
      <w:rFonts w:eastAsia="Times New Roman"/>
      <w:sz w:val="24"/>
      <w:szCs w:val="24"/>
    </w:rPr>
  </w:style>
  <w:style w:type="paragraph" w:customStyle="1" w:styleId="page-title">
    <w:name w:val="page-title"/>
    <w:basedOn w:val="Normal"/>
    <w:rsid w:val="000E6505"/>
    <w:pPr>
      <w:spacing w:after="0" w:line="240" w:lineRule="auto"/>
      <w:ind w:firstLine="480"/>
    </w:pPr>
    <w:rPr>
      <w:rFonts w:eastAsia="Times New Roman"/>
      <w:caps/>
      <w:sz w:val="27"/>
      <w:szCs w:val="27"/>
    </w:rPr>
  </w:style>
  <w:style w:type="paragraph" w:customStyle="1" w:styleId="hd1">
    <w:name w:val="hd1"/>
    <w:basedOn w:val="Normal"/>
    <w:rsid w:val="000E6505"/>
    <w:pPr>
      <w:spacing w:before="100" w:beforeAutospacing="1" w:after="100" w:afterAutospacing="1" w:line="240" w:lineRule="auto"/>
      <w:ind w:firstLine="480"/>
      <w:jc w:val="center"/>
    </w:pPr>
    <w:rPr>
      <w:rFonts w:eastAsia="Times New Roman"/>
      <w:smallCaps/>
      <w:sz w:val="24"/>
      <w:szCs w:val="24"/>
    </w:rPr>
  </w:style>
  <w:style w:type="paragraph" w:customStyle="1" w:styleId="hd2">
    <w:name w:val="hd2"/>
    <w:basedOn w:val="Normal"/>
    <w:rsid w:val="000E6505"/>
    <w:pPr>
      <w:spacing w:before="100" w:beforeAutospacing="1" w:after="100" w:afterAutospacing="1" w:line="240" w:lineRule="auto"/>
      <w:ind w:firstLine="480"/>
      <w:jc w:val="center"/>
    </w:pPr>
    <w:rPr>
      <w:rFonts w:eastAsia="Times New Roman"/>
      <w:i/>
      <w:iCs/>
      <w:sz w:val="24"/>
      <w:szCs w:val="24"/>
    </w:rPr>
  </w:style>
  <w:style w:type="paragraph" w:customStyle="1" w:styleId="hd3">
    <w:name w:val="hd3"/>
    <w:basedOn w:val="Normal"/>
    <w:rsid w:val="000E6505"/>
    <w:pPr>
      <w:spacing w:before="100" w:beforeAutospacing="1" w:after="100" w:afterAutospacing="1" w:line="240" w:lineRule="auto"/>
      <w:ind w:firstLine="480"/>
      <w:jc w:val="center"/>
    </w:pPr>
    <w:rPr>
      <w:rFonts w:eastAsia="Times New Roman"/>
      <w:sz w:val="24"/>
      <w:szCs w:val="24"/>
    </w:rPr>
  </w:style>
  <w:style w:type="paragraph" w:customStyle="1" w:styleId="hd4">
    <w:name w:val="hd4"/>
    <w:basedOn w:val="Normal"/>
    <w:rsid w:val="000E6505"/>
    <w:pPr>
      <w:spacing w:before="100" w:beforeAutospacing="1" w:after="100" w:afterAutospacing="1" w:line="240" w:lineRule="auto"/>
      <w:ind w:firstLine="480"/>
      <w:jc w:val="center"/>
    </w:pPr>
    <w:rPr>
      <w:rFonts w:eastAsia="Times New Roman"/>
      <w:sz w:val="24"/>
      <w:szCs w:val="24"/>
    </w:rPr>
  </w:style>
  <w:style w:type="paragraph" w:customStyle="1" w:styleId="hd5">
    <w:name w:val="hd5"/>
    <w:basedOn w:val="Normal"/>
    <w:rsid w:val="000E6505"/>
    <w:pPr>
      <w:spacing w:before="100" w:beforeAutospacing="1" w:after="100" w:afterAutospacing="1" w:line="240" w:lineRule="auto"/>
      <w:ind w:firstLine="480"/>
      <w:jc w:val="center"/>
    </w:pPr>
    <w:rPr>
      <w:rFonts w:eastAsia="Times New Roman"/>
      <w:b/>
      <w:bCs/>
      <w:sz w:val="23"/>
      <w:szCs w:val="23"/>
    </w:rPr>
  </w:style>
  <w:style w:type="paragraph" w:customStyle="1" w:styleId="hed1">
    <w:name w:val="hed1"/>
    <w:basedOn w:val="Normal"/>
    <w:rsid w:val="000E6505"/>
    <w:pPr>
      <w:spacing w:before="100" w:beforeAutospacing="1" w:after="100" w:afterAutospacing="1" w:line="240" w:lineRule="auto"/>
      <w:ind w:firstLine="480"/>
      <w:jc w:val="center"/>
    </w:pPr>
    <w:rPr>
      <w:rFonts w:eastAsia="Times New Roman"/>
      <w:b/>
      <w:bCs/>
      <w:sz w:val="20"/>
    </w:rPr>
  </w:style>
  <w:style w:type="paragraph" w:customStyle="1" w:styleId="frp">
    <w:name w:val="frp"/>
    <w:basedOn w:val="Normal"/>
    <w:rsid w:val="000E6505"/>
    <w:pPr>
      <w:spacing w:before="100" w:beforeAutospacing="1" w:after="100" w:afterAutospacing="1" w:line="240" w:lineRule="auto"/>
      <w:ind w:right="480"/>
      <w:jc w:val="right"/>
    </w:pPr>
    <w:rPr>
      <w:rFonts w:eastAsia="Times New Roman"/>
      <w:sz w:val="24"/>
      <w:szCs w:val="24"/>
    </w:rPr>
  </w:style>
  <w:style w:type="paragraph" w:customStyle="1" w:styleId="frp0">
    <w:name w:val="frp0"/>
    <w:basedOn w:val="Normal"/>
    <w:rsid w:val="000E6505"/>
    <w:pPr>
      <w:spacing w:before="100" w:beforeAutospacing="1" w:after="100" w:afterAutospacing="1" w:line="240" w:lineRule="auto"/>
      <w:jc w:val="right"/>
    </w:pPr>
    <w:rPr>
      <w:rFonts w:eastAsia="Times New Roman"/>
      <w:sz w:val="24"/>
      <w:szCs w:val="24"/>
    </w:rPr>
  </w:style>
  <w:style w:type="paragraph" w:customStyle="1" w:styleId="p1">
    <w:name w:val="p1"/>
    <w:basedOn w:val="Normal"/>
    <w:rsid w:val="000E6505"/>
    <w:pPr>
      <w:spacing w:before="100" w:beforeAutospacing="1" w:after="100" w:afterAutospacing="1" w:line="240" w:lineRule="auto"/>
      <w:ind w:left="1440" w:hanging="480"/>
    </w:pPr>
    <w:rPr>
      <w:rFonts w:eastAsia="Times New Roman"/>
      <w:sz w:val="24"/>
      <w:szCs w:val="24"/>
    </w:rPr>
  </w:style>
  <w:style w:type="paragraph" w:customStyle="1" w:styleId="p-1">
    <w:name w:val="p-1"/>
    <w:basedOn w:val="Normal"/>
    <w:rsid w:val="000E6505"/>
    <w:pPr>
      <w:spacing w:before="100" w:beforeAutospacing="1" w:after="100" w:afterAutospacing="1" w:line="240" w:lineRule="auto"/>
      <w:ind w:left="480"/>
    </w:pPr>
    <w:rPr>
      <w:rFonts w:eastAsia="Times New Roman"/>
      <w:sz w:val="24"/>
      <w:szCs w:val="24"/>
    </w:rPr>
  </w:style>
  <w:style w:type="paragraph" w:customStyle="1" w:styleId="p2">
    <w:name w:val="p2"/>
    <w:basedOn w:val="Normal"/>
    <w:rsid w:val="000E6505"/>
    <w:pPr>
      <w:spacing w:before="100" w:beforeAutospacing="1" w:after="100" w:afterAutospacing="1" w:line="240" w:lineRule="auto"/>
      <w:ind w:left="480" w:firstLine="480"/>
    </w:pPr>
    <w:rPr>
      <w:rFonts w:eastAsia="Times New Roman"/>
      <w:sz w:val="24"/>
      <w:szCs w:val="24"/>
    </w:rPr>
  </w:style>
  <w:style w:type="paragraph" w:customStyle="1" w:styleId="p-2">
    <w:name w:val="p-2"/>
    <w:basedOn w:val="Normal"/>
    <w:rsid w:val="000E6505"/>
    <w:pPr>
      <w:spacing w:before="100" w:beforeAutospacing="1" w:after="100" w:afterAutospacing="1" w:line="240" w:lineRule="auto"/>
      <w:ind w:left="960"/>
    </w:pPr>
    <w:rPr>
      <w:rFonts w:eastAsia="Times New Roman"/>
      <w:sz w:val="24"/>
      <w:szCs w:val="24"/>
    </w:rPr>
  </w:style>
  <w:style w:type="paragraph" w:customStyle="1" w:styleId="p-3">
    <w:name w:val="p-3"/>
    <w:basedOn w:val="Normal"/>
    <w:rsid w:val="000E6505"/>
    <w:pPr>
      <w:spacing w:before="100" w:beforeAutospacing="1" w:after="100" w:afterAutospacing="1" w:line="240" w:lineRule="auto"/>
      <w:ind w:left="960" w:hanging="480"/>
    </w:pPr>
    <w:rPr>
      <w:rFonts w:eastAsia="Times New Roman"/>
      <w:sz w:val="24"/>
      <w:szCs w:val="24"/>
    </w:rPr>
  </w:style>
  <w:style w:type="paragraph" w:customStyle="1" w:styleId="fp">
    <w:name w:val="fp"/>
    <w:basedOn w:val="Normal"/>
    <w:rsid w:val="000E6505"/>
    <w:pPr>
      <w:spacing w:before="200" w:after="100" w:afterAutospacing="1" w:line="240" w:lineRule="auto"/>
    </w:pPr>
    <w:rPr>
      <w:rFonts w:eastAsia="Times New Roman"/>
      <w:sz w:val="24"/>
      <w:szCs w:val="24"/>
    </w:rPr>
  </w:style>
  <w:style w:type="paragraph" w:customStyle="1" w:styleId="contentsp">
    <w:name w:val="contentsp"/>
    <w:basedOn w:val="Normal"/>
    <w:rsid w:val="000E6505"/>
    <w:pPr>
      <w:spacing w:before="200" w:after="100" w:afterAutospacing="1" w:line="240" w:lineRule="auto"/>
    </w:pPr>
    <w:rPr>
      <w:rFonts w:eastAsia="Times New Roman"/>
      <w:b/>
      <w:bCs/>
      <w:sz w:val="20"/>
    </w:rPr>
  </w:style>
  <w:style w:type="paragraph" w:customStyle="1" w:styleId="contentsg">
    <w:name w:val="contentsg"/>
    <w:basedOn w:val="Normal"/>
    <w:rsid w:val="000E6505"/>
    <w:pPr>
      <w:spacing w:before="200" w:after="100" w:afterAutospacing="1" w:line="240" w:lineRule="auto"/>
    </w:pPr>
    <w:rPr>
      <w:rFonts w:eastAsia="Times New Roman"/>
      <w:smallCaps/>
      <w:sz w:val="20"/>
    </w:rPr>
  </w:style>
  <w:style w:type="paragraph" w:customStyle="1" w:styleId="updatetitle">
    <w:name w:val="updatetitle"/>
    <w:basedOn w:val="Normal"/>
    <w:rsid w:val="000E6505"/>
    <w:pPr>
      <w:spacing w:before="200" w:after="100" w:afterAutospacing="1" w:line="240" w:lineRule="auto"/>
    </w:pPr>
    <w:rPr>
      <w:rFonts w:eastAsia="Times New Roman"/>
      <w:sz w:val="24"/>
      <w:szCs w:val="24"/>
    </w:rPr>
  </w:style>
  <w:style w:type="paragraph" w:customStyle="1" w:styleId="updatebold">
    <w:name w:val="updatebold"/>
    <w:basedOn w:val="Normal"/>
    <w:rsid w:val="000E6505"/>
    <w:pPr>
      <w:spacing w:before="100" w:beforeAutospacing="1" w:after="100" w:afterAutospacing="1" w:line="240" w:lineRule="auto"/>
    </w:pPr>
    <w:rPr>
      <w:rFonts w:eastAsia="Times New Roman"/>
      <w:b/>
      <w:bCs/>
      <w:sz w:val="24"/>
      <w:szCs w:val="24"/>
    </w:rPr>
  </w:style>
  <w:style w:type="paragraph" w:customStyle="1" w:styleId="updatebodytest">
    <w:name w:val="updatebodytest"/>
    <w:basedOn w:val="Normal"/>
    <w:rsid w:val="000E6505"/>
    <w:pPr>
      <w:spacing w:before="100" w:beforeAutospacing="1" w:after="100" w:afterAutospacing="1" w:line="240" w:lineRule="auto"/>
    </w:pPr>
    <w:rPr>
      <w:rFonts w:eastAsia="Times New Roman"/>
      <w:sz w:val="24"/>
      <w:szCs w:val="24"/>
    </w:rPr>
  </w:style>
  <w:style w:type="paragraph" w:customStyle="1" w:styleId="source">
    <w:name w:val="source"/>
    <w:basedOn w:val="Normal"/>
    <w:rsid w:val="000E6505"/>
    <w:pPr>
      <w:spacing w:before="200" w:after="100" w:afterAutospacing="1" w:line="240" w:lineRule="auto"/>
      <w:ind w:firstLine="480"/>
    </w:pPr>
    <w:rPr>
      <w:rFonts w:eastAsia="Times New Roman"/>
      <w:sz w:val="18"/>
      <w:szCs w:val="18"/>
    </w:rPr>
  </w:style>
  <w:style w:type="paragraph" w:customStyle="1" w:styleId="ednote">
    <w:name w:val="ednote"/>
    <w:basedOn w:val="Normal"/>
    <w:rsid w:val="000E6505"/>
    <w:pPr>
      <w:spacing w:before="200" w:after="100" w:afterAutospacing="1" w:line="240" w:lineRule="auto"/>
      <w:ind w:firstLine="480"/>
    </w:pPr>
    <w:rPr>
      <w:rFonts w:eastAsia="Times New Roman"/>
      <w:sz w:val="18"/>
      <w:szCs w:val="18"/>
    </w:rPr>
  </w:style>
  <w:style w:type="paragraph" w:customStyle="1" w:styleId="effdnot">
    <w:name w:val="effdnot"/>
    <w:basedOn w:val="Normal"/>
    <w:rsid w:val="000E6505"/>
    <w:pPr>
      <w:spacing w:before="200" w:after="100" w:afterAutospacing="1" w:line="240" w:lineRule="auto"/>
      <w:ind w:firstLine="480"/>
    </w:pPr>
    <w:rPr>
      <w:rFonts w:eastAsia="Times New Roman"/>
      <w:sz w:val="18"/>
      <w:szCs w:val="18"/>
    </w:rPr>
  </w:style>
  <w:style w:type="paragraph" w:customStyle="1" w:styleId="example">
    <w:name w:val="example"/>
    <w:basedOn w:val="Normal"/>
    <w:rsid w:val="000E6505"/>
    <w:pPr>
      <w:spacing w:before="200" w:after="100" w:afterAutospacing="1" w:line="240" w:lineRule="auto"/>
      <w:ind w:firstLine="480"/>
    </w:pPr>
    <w:rPr>
      <w:rFonts w:eastAsia="Times New Roman"/>
      <w:sz w:val="18"/>
      <w:szCs w:val="18"/>
    </w:rPr>
  </w:style>
  <w:style w:type="paragraph" w:customStyle="1" w:styleId="crossref">
    <w:name w:val="crossref"/>
    <w:basedOn w:val="Normal"/>
    <w:rsid w:val="000E6505"/>
    <w:pPr>
      <w:spacing w:before="200" w:after="100" w:afterAutospacing="1" w:line="240" w:lineRule="auto"/>
      <w:ind w:firstLine="480"/>
    </w:pPr>
    <w:rPr>
      <w:rFonts w:eastAsia="Times New Roman"/>
      <w:sz w:val="18"/>
      <w:szCs w:val="18"/>
    </w:rPr>
  </w:style>
  <w:style w:type="paragraph" w:customStyle="1" w:styleId="note">
    <w:name w:val="note"/>
    <w:basedOn w:val="Normal"/>
    <w:rsid w:val="000E6505"/>
    <w:pPr>
      <w:spacing w:before="200" w:after="100" w:afterAutospacing="1" w:line="240" w:lineRule="auto"/>
      <w:ind w:firstLine="480"/>
    </w:pPr>
    <w:rPr>
      <w:rFonts w:eastAsia="Times New Roman"/>
      <w:sz w:val="18"/>
      <w:szCs w:val="18"/>
    </w:rPr>
  </w:style>
  <w:style w:type="paragraph" w:customStyle="1" w:styleId="cita">
    <w:name w:val="cita"/>
    <w:basedOn w:val="Normal"/>
    <w:rsid w:val="000E6505"/>
    <w:pPr>
      <w:spacing w:before="200" w:after="100" w:afterAutospacing="1" w:line="240" w:lineRule="auto"/>
    </w:pPr>
    <w:rPr>
      <w:rFonts w:eastAsia="Times New Roman"/>
      <w:sz w:val="18"/>
      <w:szCs w:val="18"/>
    </w:rPr>
  </w:style>
  <w:style w:type="paragraph" w:customStyle="1" w:styleId="appro">
    <w:name w:val="appro"/>
    <w:basedOn w:val="Normal"/>
    <w:rsid w:val="000E6505"/>
    <w:pPr>
      <w:spacing w:before="200" w:after="100" w:afterAutospacing="1" w:line="240" w:lineRule="auto"/>
    </w:pPr>
    <w:rPr>
      <w:rFonts w:eastAsia="Times New Roman"/>
      <w:sz w:val="18"/>
      <w:szCs w:val="18"/>
    </w:rPr>
  </w:style>
  <w:style w:type="paragraph" w:customStyle="1" w:styleId="auth">
    <w:name w:val="auth"/>
    <w:basedOn w:val="Normal"/>
    <w:rsid w:val="000E6505"/>
    <w:pPr>
      <w:spacing w:before="200" w:after="100" w:afterAutospacing="1" w:line="240" w:lineRule="auto"/>
      <w:ind w:firstLine="480"/>
    </w:pPr>
    <w:rPr>
      <w:rFonts w:eastAsia="Times New Roman"/>
      <w:sz w:val="18"/>
      <w:szCs w:val="18"/>
    </w:rPr>
  </w:style>
  <w:style w:type="paragraph" w:customStyle="1" w:styleId="parauth">
    <w:name w:val="parauth"/>
    <w:basedOn w:val="Normal"/>
    <w:rsid w:val="000E6505"/>
    <w:pPr>
      <w:spacing w:before="200" w:after="100" w:afterAutospacing="1" w:line="240" w:lineRule="auto"/>
    </w:pPr>
    <w:rPr>
      <w:rFonts w:eastAsia="Times New Roman"/>
      <w:sz w:val="18"/>
      <w:szCs w:val="18"/>
    </w:rPr>
  </w:style>
  <w:style w:type="paragraph" w:customStyle="1" w:styleId="secauth">
    <w:name w:val="secauth"/>
    <w:basedOn w:val="Normal"/>
    <w:rsid w:val="000E6505"/>
    <w:pPr>
      <w:spacing w:before="200" w:after="100" w:afterAutospacing="1" w:line="240" w:lineRule="auto"/>
    </w:pPr>
    <w:rPr>
      <w:rFonts w:eastAsia="Times New Roman"/>
      <w:sz w:val="18"/>
      <w:szCs w:val="18"/>
    </w:rPr>
  </w:style>
  <w:style w:type="paragraph" w:customStyle="1" w:styleId="title">
    <w:name w:val="title"/>
    <w:basedOn w:val="Normal"/>
    <w:rsid w:val="000E6505"/>
    <w:pPr>
      <w:spacing w:before="200" w:after="100" w:afterAutospacing="1" w:line="240" w:lineRule="auto"/>
    </w:pPr>
    <w:rPr>
      <w:rFonts w:eastAsia="Times New Roman"/>
      <w:sz w:val="24"/>
      <w:szCs w:val="24"/>
    </w:rPr>
  </w:style>
  <w:style w:type="paragraph" w:customStyle="1" w:styleId="subtitle">
    <w:name w:val="subtitle"/>
    <w:basedOn w:val="Normal"/>
    <w:rsid w:val="000E6505"/>
    <w:pPr>
      <w:spacing w:before="200" w:after="100" w:afterAutospacing="1" w:line="240" w:lineRule="auto"/>
    </w:pPr>
    <w:rPr>
      <w:rFonts w:eastAsia="Times New Roman"/>
      <w:sz w:val="24"/>
      <w:szCs w:val="24"/>
    </w:rPr>
  </w:style>
  <w:style w:type="paragraph" w:customStyle="1" w:styleId="chapter">
    <w:name w:val="chapter"/>
    <w:basedOn w:val="Normal"/>
    <w:rsid w:val="000E6505"/>
    <w:pPr>
      <w:spacing w:before="200" w:after="100" w:afterAutospacing="1" w:line="240" w:lineRule="auto"/>
    </w:pPr>
    <w:rPr>
      <w:rFonts w:eastAsia="Times New Roman"/>
      <w:sz w:val="24"/>
      <w:szCs w:val="24"/>
    </w:rPr>
  </w:style>
  <w:style w:type="paragraph" w:customStyle="1" w:styleId="subchapter">
    <w:name w:val="subchapter"/>
    <w:basedOn w:val="Normal"/>
    <w:rsid w:val="000E6505"/>
    <w:pPr>
      <w:spacing w:before="200" w:after="100" w:afterAutospacing="1" w:line="240" w:lineRule="auto"/>
    </w:pPr>
    <w:rPr>
      <w:rFonts w:eastAsia="Times New Roman"/>
      <w:sz w:val="24"/>
      <w:szCs w:val="24"/>
    </w:rPr>
  </w:style>
  <w:style w:type="paragraph" w:customStyle="1" w:styleId="part">
    <w:name w:val="part"/>
    <w:basedOn w:val="Normal"/>
    <w:rsid w:val="000E6505"/>
    <w:pPr>
      <w:spacing w:before="200" w:after="100" w:afterAutospacing="1" w:line="240" w:lineRule="auto"/>
    </w:pPr>
    <w:rPr>
      <w:rFonts w:eastAsia="Times New Roman"/>
      <w:sz w:val="24"/>
      <w:szCs w:val="24"/>
    </w:rPr>
  </w:style>
  <w:style w:type="paragraph" w:customStyle="1" w:styleId="subpart">
    <w:name w:val="subpart"/>
    <w:basedOn w:val="Normal"/>
    <w:rsid w:val="000E6505"/>
    <w:pPr>
      <w:spacing w:before="200" w:after="100" w:afterAutospacing="1" w:line="240" w:lineRule="auto"/>
    </w:pPr>
    <w:rPr>
      <w:rFonts w:eastAsia="Times New Roman"/>
      <w:sz w:val="24"/>
      <w:szCs w:val="24"/>
    </w:rPr>
  </w:style>
  <w:style w:type="paragraph" w:customStyle="1" w:styleId="apphead">
    <w:name w:val="apphead"/>
    <w:basedOn w:val="Normal"/>
    <w:rsid w:val="000E6505"/>
    <w:pPr>
      <w:spacing w:before="200" w:after="100" w:line="240" w:lineRule="auto"/>
      <w:ind w:firstLine="480"/>
      <w:jc w:val="center"/>
    </w:pPr>
    <w:rPr>
      <w:rFonts w:eastAsia="Times New Roman"/>
      <w:smallCaps/>
      <w:sz w:val="20"/>
    </w:rPr>
  </w:style>
  <w:style w:type="paragraph" w:customStyle="1" w:styleId="sphead">
    <w:name w:val="sphead"/>
    <w:basedOn w:val="Normal"/>
    <w:rsid w:val="000E6505"/>
    <w:pPr>
      <w:spacing w:before="200" w:after="100" w:line="240" w:lineRule="auto"/>
    </w:pPr>
    <w:rPr>
      <w:rFonts w:eastAsia="Times New Roman"/>
      <w:b/>
      <w:bCs/>
      <w:sz w:val="27"/>
      <w:szCs w:val="27"/>
    </w:rPr>
  </w:style>
  <w:style w:type="paragraph" w:customStyle="1" w:styleId="cpsghead">
    <w:name w:val="cpsghead"/>
    <w:basedOn w:val="Normal"/>
    <w:rsid w:val="000E6505"/>
    <w:pPr>
      <w:spacing w:before="100" w:after="0" w:line="240" w:lineRule="auto"/>
    </w:pPr>
    <w:rPr>
      <w:rFonts w:eastAsia="Times New Roman"/>
      <w:smallCaps/>
      <w:sz w:val="18"/>
      <w:szCs w:val="18"/>
    </w:rPr>
  </w:style>
  <w:style w:type="paragraph" w:customStyle="1" w:styleId="tsghead">
    <w:name w:val="tsghead"/>
    <w:basedOn w:val="Normal"/>
    <w:rsid w:val="000E6505"/>
    <w:pPr>
      <w:spacing w:before="200" w:after="100" w:line="240" w:lineRule="auto"/>
    </w:pPr>
    <w:rPr>
      <w:rFonts w:eastAsia="Times New Roman"/>
      <w:b/>
      <w:bCs/>
      <w:smallCaps/>
      <w:sz w:val="27"/>
      <w:szCs w:val="27"/>
    </w:rPr>
  </w:style>
  <w:style w:type="paragraph" w:customStyle="1" w:styleId="sghead">
    <w:name w:val="sghead"/>
    <w:basedOn w:val="Normal"/>
    <w:rsid w:val="000E6505"/>
    <w:pPr>
      <w:spacing w:before="200" w:after="100" w:line="240" w:lineRule="auto"/>
      <w:jc w:val="center"/>
    </w:pPr>
    <w:rPr>
      <w:rFonts w:eastAsia="Times New Roman"/>
      <w:smallCaps/>
      <w:sz w:val="20"/>
    </w:rPr>
  </w:style>
  <w:style w:type="paragraph" w:customStyle="1" w:styleId="stars">
    <w:name w:val="stars"/>
    <w:basedOn w:val="Normal"/>
    <w:rsid w:val="000E6505"/>
    <w:pPr>
      <w:spacing w:before="100" w:beforeAutospacing="1" w:after="100" w:afterAutospacing="1" w:line="240" w:lineRule="auto"/>
      <w:ind w:firstLine="480"/>
    </w:pPr>
    <w:rPr>
      <w:rFonts w:eastAsia="Times New Roman"/>
      <w:sz w:val="24"/>
      <w:szCs w:val="24"/>
    </w:rPr>
  </w:style>
  <w:style w:type="paragraph" w:customStyle="1" w:styleId="tcap">
    <w:name w:val="tcap"/>
    <w:basedOn w:val="Normal"/>
    <w:rsid w:val="000E6505"/>
    <w:pPr>
      <w:spacing w:before="100" w:beforeAutospacing="1" w:after="100" w:afterAutospacing="1" w:line="240" w:lineRule="auto"/>
      <w:ind w:firstLine="480"/>
      <w:jc w:val="center"/>
    </w:pPr>
    <w:rPr>
      <w:rFonts w:eastAsia="Times New Roman"/>
      <w:sz w:val="24"/>
      <w:szCs w:val="24"/>
    </w:rPr>
  </w:style>
  <w:style w:type="paragraph" w:customStyle="1" w:styleId="bcap">
    <w:name w:val="bcap"/>
    <w:basedOn w:val="Normal"/>
    <w:rsid w:val="000E6505"/>
    <w:pPr>
      <w:spacing w:before="100" w:beforeAutospacing="1" w:after="100" w:afterAutospacing="1" w:line="240" w:lineRule="auto"/>
      <w:ind w:firstLine="480"/>
    </w:pPr>
    <w:rPr>
      <w:rFonts w:eastAsia="Times New Roman"/>
      <w:sz w:val="24"/>
      <w:szCs w:val="24"/>
    </w:rPr>
  </w:style>
  <w:style w:type="paragraph" w:customStyle="1" w:styleId="fp-1">
    <w:name w:val="fp-1"/>
    <w:basedOn w:val="Normal"/>
    <w:rsid w:val="000E6505"/>
    <w:pPr>
      <w:spacing w:before="200" w:after="100" w:line="240" w:lineRule="auto"/>
      <w:ind w:left="480" w:hanging="480"/>
    </w:pPr>
    <w:rPr>
      <w:rFonts w:eastAsia="Times New Roman"/>
      <w:sz w:val="24"/>
      <w:szCs w:val="24"/>
    </w:rPr>
  </w:style>
  <w:style w:type="paragraph" w:customStyle="1" w:styleId="fp-2">
    <w:name w:val="fp-2"/>
    <w:basedOn w:val="Normal"/>
    <w:rsid w:val="000E6505"/>
    <w:pPr>
      <w:spacing w:before="200" w:after="100" w:line="240" w:lineRule="auto"/>
      <w:ind w:left="960" w:hanging="960"/>
    </w:pPr>
    <w:rPr>
      <w:rFonts w:eastAsia="Times New Roman"/>
      <w:sz w:val="24"/>
      <w:szCs w:val="24"/>
    </w:rPr>
  </w:style>
  <w:style w:type="paragraph" w:customStyle="1" w:styleId="fp1-2">
    <w:name w:val="fp1-2"/>
    <w:basedOn w:val="Normal"/>
    <w:rsid w:val="000E6505"/>
    <w:pPr>
      <w:spacing w:before="200" w:after="100" w:line="240" w:lineRule="auto"/>
      <w:ind w:left="960" w:hanging="480"/>
    </w:pPr>
    <w:rPr>
      <w:rFonts w:eastAsia="Times New Roman"/>
      <w:sz w:val="24"/>
      <w:szCs w:val="24"/>
    </w:rPr>
  </w:style>
  <w:style w:type="paragraph" w:customStyle="1" w:styleId="fp2-2">
    <w:name w:val="fp2-2"/>
    <w:basedOn w:val="Normal"/>
    <w:rsid w:val="000E6505"/>
    <w:pPr>
      <w:spacing w:before="200" w:after="100" w:line="240" w:lineRule="auto"/>
      <w:ind w:left="960"/>
    </w:pPr>
    <w:rPr>
      <w:rFonts w:eastAsia="Times New Roman"/>
      <w:sz w:val="24"/>
      <w:szCs w:val="24"/>
    </w:rPr>
  </w:style>
  <w:style w:type="paragraph" w:customStyle="1" w:styleId="fp2-3">
    <w:name w:val="fp2-3"/>
    <w:basedOn w:val="Normal"/>
    <w:rsid w:val="000E6505"/>
    <w:pPr>
      <w:spacing w:before="200" w:after="100" w:line="240" w:lineRule="auto"/>
      <w:ind w:left="1440" w:hanging="480"/>
    </w:pPr>
    <w:rPr>
      <w:rFonts w:eastAsia="Times New Roman"/>
      <w:sz w:val="24"/>
      <w:szCs w:val="24"/>
    </w:rPr>
  </w:style>
  <w:style w:type="paragraph" w:customStyle="1" w:styleId="contents">
    <w:name w:val="contents"/>
    <w:basedOn w:val="Normal"/>
    <w:rsid w:val="000E6505"/>
    <w:pPr>
      <w:spacing w:before="200" w:after="100" w:line="240" w:lineRule="auto"/>
    </w:pPr>
    <w:rPr>
      <w:rFonts w:eastAsia="Times New Roman"/>
      <w:sz w:val="24"/>
      <w:szCs w:val="24"/>
    </w:rPr>
  </w:style>
  <w:style w:type="paragraph" w:customStyle="1" w:styleId="three-col-layout-middle">
    <w:name w:val="three-col-layout-middle"/>
    <w:basedOn w:val="Normal"/>
    <w:rsid w:val="000E6505"/>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three-col-layout-right">
    <w:name w:val="three-col-layout-right"/>
    <w:basedOn w:val="Normal"/>
    <w:rsid w:val="000E6505"/>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extract">
    <w:name w:val="extract"/>
    <w:basedOn w:val="Normal"/>
    <w:rsid w:val="000E6505"/>
    <w:pPr>
      <w:spacing w:before="100" w:beforeAutospacing="1" w:after="100" w:afterAutospacing="1" w:line="240" w:lineRule="auto"/>
      <w:ind w:firstLine="480"/>
    </w:pPr>
    <w:rPr>
      <w:rFonts w:eastAsia="Times New Roman"/>
      <w:sz w:val="18"/>
      <w:szCs w:val="18"/>
    </w:rPr>
  </w:style>
  <w:style w:type="paragraph" w:customStyle="1" w:styleId="ftnt">
    <w:name w:val="ftnt"/>
    <w:basedOn w:val="Normal"/>
    <w:rsid w:val="000E6505"/>
    <w:pPr>
      <w:spacing w:before="100" w:beforeAutospacing="1" w:after="100" w:afterAutospacing="1" w:line="240" w:lineRule="auto"/>
      <w:ind w:firstLine="480"/>
    </w:pPr>
    <w:rPr>
      <w:rFonts w:eastAsia="Times New Roman"/>
      <w:sz w:val="18"/>
      <w:szCs w:val="18"/>
    </w:rPr>
  </w:style>
  <w:style w:type="paragraph" w:customStyle="1" w:styleId="tpl">
    <w:name w:val="tpl"/>
    <w:basedOn w:val="Normal"/>
    <w:rsid w:val="000E6505"/>
    <w:pPr>
      <w:spacing w:before="100" w:beforeAutospacing="1" w:after="100" w:afterAutospacing="1" w:line="240" w:lineRule="auto"/>
      <w:ind w:firstLine="480"/>
    </w:pPr>
    <w:rPr>
      <w:rFonts w:eastAsia="Times New Roman"/>
      <w:sz w:val="20"/>
    </w:rPr>
  </w:style>
  <w:style w:type="paragraph" w:customStyle="1" w:styleId="sechd">
    <w:name w:val="sechd"/>
    <w:basedOn w:val="Normal"/>
    <w:rsid w:val="000E6505"/>
    <w:pPr>
      <w:spacing w:after="100" w:afterAutospacing="1" w:line="240" w:lineRule="auto"/>
    </w:pPr>
    <w:rPr>
      <w:rFonts w:eastAsia="Times New Roman"/>
      <w:sz w:val="24"/>
      <w:szCs w:val="24"/>
    </w:rPr>
  </w:style>
  <w:style w:type="paragraph" w:customStyle="1" w:styleId="centry">
    <w:name w:val="c_entry"/>
    <w:basedOn w:val="Normal"/>
    <w:rsid w:val="000E6505"/>
    <w:pPr>
      <w:spacing w:after="100" w:afterAutospacing="1" w:line="240" w:lineRule="auto"/>
    </w:pPr>
    <w:rPr>
      <w:rFonts w:eastAsia="Times New Roman"/>
      <w:sz w:val="24"/>
      <w:szCs w:val="24"/>
    </w:rPr>
  </w:style>
  <w:style w:type="paragraph" w:customStyle="1" w:styleId="su">
    <w:name w:val="su"/>
    <w:basedOn w:val="Normal"/>
    <w:rsid w:val="000E6505"/>
    <w:pPr>
      <w:spacing w:before="100" w:beforeAutospacing="1" w:after="100" w:afterAutospacing="1" w:line="240" w:lineRule="auto"/>
      <w:ind w:firstLine="480"/>
    </w:pPr>
    <w:rPr>
      <w:rFonts w:eastAsia="Times New Roman"/>
      <w:sz w:val="17"/>
      <w:szCs w:val="17"/>
      <w:vertAlign w:val="superscript"/>
    </w:rPr>
  </w:style>
  <w:style w:type="paragraph" w:customStyle="1" w:styleId="gpotblhang">
    <w:name w:val="gpotbl_hang"/>
    <w:basedOn w:val="Normal"/>
    <w:rsid w:val="000E6505"/>
    <w:pPr>
      <w:spacing w:before="100" w:beforeAutospacing="1" w:after="100" w:afterAutospacing="1" w:line="240" w:lineRule="auto"/>
      <w:ind w:hanging="480"/>
    </w:pPr>
    <w:rPr>
      <w:rFonts w:eastAsia="Times New Roman"/>
      <w:sz w:val="24"/>
      <w:szCs w:val="24"/>
    </w:rPr>
  </w:style>
  <w:style w:type="paragraph" w:customStyle="1" w:styleId="gpotbltable">
    <w:name w:val="gpotbl_table"/>
    <w:basedOn w:val="Normal"/>
    <w:rsid w:val="000E6505"/>
    <w:pPr>
      <w:spacing w:before="100" w:beforeAutospacing="1" w:after="100" w:afterAutospacing="1" w:line="240" w:lineRule="auto"/>
      <w:ind w:firstLine="480"/>
    </w:pPr>
    <w:rPr>
      <w:rFonts w:eastAsia="Times New Roman"/>
      <w:sz w:val="24"/>
      <w:szCs w:val="24"/>
    </w:rPr>
  </w:style>
  <w:style w:type="paragraph" w:customStyle="1" w:styleId="gpotbldiv">
    <w:name w:val="gpotbl_div"/>
    <w:basedOn w:val="Normal"/>
    <w:rsid w:val="000E6505"/>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eastAsia="Times New Roman"/>
      <w:sz w:val="24"/>
      <w:szCs w:val="24"/>
    </w:rPr>
  </w:style>
  <w:style w:type="paragraph" w:customStyle="1" w:styleId="gpotbltitle">
    <w:name w:val="gpotbl_title"/>
    <w:basedOn w:val="Normal"/>
    <w:rsid w:val="000E6505"/>
    <w:pPr>
      <w:spacing w:before="100" w:beforeAutospacing="1" w:after="100" w:afterAutospacing="1" w:line="240" w:lineRule="auto"/>
      <w:ind w:firstLine="480"/>
      <w:jc w:val="center"/>
    </w:pPr>
    <w:rPr>
      <w:rFonts w:eastAsia="Times New Roman"/>
      <w:b/>
      <w:bCs/>
      <w:smallCaps/>
      <w:sz w:val="24"/>
      <w:szCs w:val="24"/>
    </w:rPr>
  </w:style>
  <w:style w:type="paragraph" w:customStyle="1" w:styleId="gpotbldescription">
    <w:name w:val="gpotbl_description"/>
    <w:basedOn w:val="Normal"/>
    <w:rsid w:val="000E6505"/>
    <w:pPr>
      <w:spacing w:before="100" w:beforeAutospacing="1" w:after="100" w:afterAutospacing="1" w:line="240" w:lineRule="auto"/>
      <w:ind w:firstLine="480"/>
      <w:jc w:val="center"/>
    </w:pPr>
    <w:rPr>
      <w:rFonts w:eastAsia="Times New Roman"/>
      <w:sz w:val="24"/>
      <w:szCs w:val="24"/>
    </w:rPr>
  </w:style>
  <w:style w:type="paragraph" w:customStyle="1" w:styleId="gpotblcell">
    <w:name w:val="gpotbl_cell"/>
    <w:basedOn w:val="Normal"/>
    <w:rsid w:val="000E650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eastAsia="Times New Roman"/>
      <w:sz w:val="24"/>
      <w:szCs w:val="24"/>
    </w:rPr>
  </w:style>
  <w:style w:type="paragraph" w:customStyle="1" w:styleId="gpotblcolhed">
    <w:name w:val="gpotbl_colhed"/>
    <w:basedOn w:val="Normal"/>
    <w:rsid w:val="000E650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eastAsia="Times New Roman"/>
      <w:sz w:val="24"/>
      <w:szCs w:val="24"/>
    </w:rPr>
  </w:style>
  <w:style w:type="character" w:customStyle="1" w:styleId="fpdash">
    <w:name w:val="fpdash"/>
    <w:basedOn w:val="DefaultParagraphFont"/>
    <w:rsid w:val="000E6505"/>
    <w:rPr>
      <w:shd w:val="clear" w:color="auto" w:fill="FFFFFF"/>
    </w:rPr>
  </w:style>
  <w:style w:type="character" w:customStyle="1" w:styleId="pdash">
    <w:name w:val="pdash"/>
    <w:basedOn w:val="DefaultParagraphFont"/>
    <w:rsid w:val="000E6505"/>
    <w:rPr>
      <w:shd w:val="clear" w:color="auto" w:fill="FFFFFF"/>
    </w:rPr>
  </w:style>
  <w:style w:type="paragraph" w:customStyle="1" w:styleId="gpotblnote">
    <w:name w:val="gpotbl_note"/>
    <w:basedOn w:val="Normal"/>
    <w:rsid w:val="000E6505"/>
    <w:pPr>
      <w:spacing w:before="100" w:beforeAutospacing="1" w:after="100" w:afterAutospacing="1" w:line="240" w:lineRule="auto"/>
      <w:ind w:firstLine="480"/>
    </w:pPr>
    <w:rPr>
      <w:rFonts w:eastAsia="Times New Roman"/>
      <w:sz w:val="24"/>
      <w:szCs w:val="24"/>
    </w:rPr>
  </w:style>
  <w:style w:type="paragraph" w:styleId="BalloonText">
    <w:name w:val="Balloon Text"/>
    <w:basedOn w:val="Normal"/>
    <w:link w:val="BalloonTextChar"/>
    <w:uiPriority w:val="99"/>
    <w:semiHidden/>
    <w:unhideWhenUsed/>
    <w:rsid w:val="000E65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5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7191790">
      <w:bodyDiv w:val="1"/>
      <w:marLeft w:val="0"/>
      <w:marRight w:val="0"/>
      <w:marTop w:val="30"/>
      <w:marBottom w:val="750"/>
      <w:divBdr>
        <w:top w:val="none" w:sz="0" w:space="0" w:color="auto"/>
        <w:left w:val="none" w:sz="0" w:space="0" w:color="auto"/>
        <w:bottom w:val="none" w:sz="0" w:space="0" w:color="auto"/>
        <w:right w:val="none" w:sz="0" w:space="0" w:color="auto"/>
      </w:divBdr>
      <w:divsChild>
        <w:div w:id="315034871">
          <w:marLeft w:val="0"/>
          <w:marRight w:val="0"/>
          <w:marTop w:val="0"/>
          <w:marBottom w:val="0"/>
          <w:divBdr>
            <w:top w:val="none" w:sz="0" w:space="0" w:color="auto"/>
            <w:left w:val="none" w:sz="0" w:space="0" w:color="auto"/>
            <w:bottom w:val="none" w:sz="0" w:space="0" w:color="auto"/>
            <w:right w:val="none" w:sz="0" w:space="0" w:color="auto"/>
          </w:divBdr>
          <w:divsChild>
            <w:div w:id="1695885289">
              <w:marLeft w:val="0"/>
              <w:marRight w:val="0"/>
              <w:marTop w:val="0"/>
              <w:marBottom w:val="0"/>
              <w:divBdr>
                <w:top w:val="none" w:sz="0" w:space="0" w:color="auto"/>
                <w:left w:val="none" w:sz="0" w:space="0" w:color="auto"/>
                <w:bottom w:val="none" w:sz="0" w:space="0" w:color="auto"/>
                <w:right w:val="none" w:sz="0" w:space="0" w:color="auto"/>
              </w:divBdr>
            </w:div>
            <w:div w:id="686372788">
              <w:marLeft w:val="0"/>
              <w:marRight w:val="0"/>
              <w:marTop w:val="0"/>
              <w:marBottom w:val="0"/>
              <w:divBdr>
                <w:top w:val="none" w:sz="0" w:space="0" w:color="auto"/>
                <w:left w:val="none" w:sz="0" w:space="0" w:color="auto"/>
                <w:bottom w:val="none" w:sz="0" w:space="0" w:color="auto"/>
                <w:right w:val="none" w:sz="0" w:space="0" w:color="auto"/>
              </w:divBdr>
            </w:div>
            <w:div w:id="182862232">
              <w:marLeft w:val="0"/>
              <w:marRight w:val="0"/>
              <w:marTop w:val="0"/>
              <w:marBottom w:val="0"/>
              <w:divBdr>
                <w:top w:val="none" w:sz="0" w:space="0" w:color="auto"/>
                <w:left w:val="none" w:sz="0" w:space="0" w:color="auto"/>
                <w:bottom w:val="none" w:sz="0" w:space="0" w:color="auto"/>
                <w:right w:val="none" w:sz="0" w:space="0" w:color="auto"/>
              </w:divBdr>
            </w:div>
            <w:div w:id="220097804">
              <w:marLeft w:val="0"/>
              <w:marRight w:val="0"/>
              <w:marTop w:val="0"/>
              <w:marBottom w:val="0"/>
              <w:divBdr>
                <w:top w:val="none" w:sz="0" w:space="0" w:color="auto"/>
                <w:left w:val="none" w:sz="0" w:space="0" w:color="auto"/>
                <w:bottom w:val="none" w:sz="0" w:space="0" w:color="auto"/>
                <w:right w:val="none" w:sz="0" w:space="0" w:color="auto"/>
              </w:divBdr>
            </w:div>
            <w:div w:id="351344396">
              <w:marLeft w:val="0"/>
              <w:marRight w:val="0"/>
              <w:marTop w:val="0"/>
              <w:marBottom w:val="0"/>
              <w:divBdr>
                <w:top w:val="none" w:sz="0" w:space="0" w:color="auto"/>
                <w:left w:val="none" w:sz="0" w:space="0" w:color="auto"/>
                <w:bottom w:val="none" w:sz="0" w:space="0" w:color="auto"/>
                <w:right w:val="none" w:sz="0" w:space="0" w:color="auto"/>
              </w:divBdr>
            </w:div>
            <w:div w:id="1173304604">
              <w:marLeft w:val="0"/>
              <w:marRight w:val="0"/>
              <w:marTop w:val="0"/>
              <w:marBottom w:val="0"/>
              <w:divBdr>
                <w:top w:val="none" w:sz="0" w:space="0" w:color="auto"/>
                <w:left w:val="none" w:sz="0" w:space="0" w:color="auto"/>
                <w:bottom w:val="none" w:sz="0" w:space="0" w:color="auto"/>
                <w:right w:val="none" w:sz="0" w:space="0" w:color="auto"/>
              </w:divBdr>
            </w:div>
            <w:div w:id="148593498">
              <w:marLeft w:val="0"/>
              <w:marRight w:val="0"/>
              <w:marTop w:val="0"/>
              <w:marBottom w:val="0"/>
              <w:divBdr>
                <w:top w:val="none" w:sz="0" w:space="0" w:color="auto"/>
                <w:left w:val="none" w:sz="0" w:space="0" w:color="auto"/>
                <w:bottom w:val="none" w:sz="0" w:space="0" w:color="auto"/>
                <w:right w:val="none" w:sz="0" w:space="0" w:color="auto"/>
              </w:divBdr>
            </w:div>
            <w:div w:id="780104677">
              <w:marLeft w:val="0"/>
              <w:marRight w:val="0"/>
              <w:marTop w:val="0"/>
              <w:marBottom w:val="0"/>
              <w:divBdr>
                <w:top w:val="none" w:sz="0" w:space="0" w:color="auto"/>
                <w:left w:val="none" w:sz="0" w:space="0" w:color="auto"/>
                <w:bottom w:val="none" w:sz="0" w:space="0" w:color="auto"/>
                <w:right w:val="none" w:sz="0" w:space="0" w:color="auto"/>
              </w:divBdr>
            </w:div>
            <w:div w:id="963657046">
              <w:marLeft w:val="0"/>
              <w:marRight w:val="0"/>
              <w:marTop w:val="0"/>
              <w:marBottom w:val="0"/>
              <w:divBdr>
                <w:top w:val="none" w:sz="0" w:space="0" w:color="auto"/>
                <w:left w:val="none" w:sz="0" w:space="0" w:color="auto"/>
                <w:bottom w:val="none" w:sz="0" w:space="0" w:color="auto"/>
                <w:right w:val="none" w:sz="0" w:space="0" w:color="auto"/>
              </w:divBdr>
            </w:div>
            <w:div w:id="924803996">
              <w:marLeft w:val="0"/>
              <w:marRight w:val="0"/>
              <w:marTop w:val="0"/>
              <w:marBottom w:val="0"/>
              <w:divBdr>
                <w:top w:val="none" w:sz="0" w:space="0" w:color="auto"/>
                <w:left w:val="none" w:sz="0" w:space="0" w:color="auto"/>
                <w:bottom w:val="none" w:sz="0" w:space="0" w:color="auto"/>
                <w:right w:val="none" w:sz="0" w:space="0" w:color="auto"/>
              </w:divBdr>
            </w:div>
            <w:div w:id="222451396">
              <w:marLeft w:val="0"/>
              <w:marRight w:val="0"/>
              <w:marTop w:val="0"/>
              <w:marBottom w:val="0"/>
              <w:divBdr>
                <w:top w:val="none" w:sz="0" w:space="0" w:color="auto"/>
                <w:left w:val="none" w:sz="0" w:space="0" w:color="auto"/>
                <w:bottom w:val="none" w:sz="0" w:space="0" w:color="auto"/>
                <w:right w:val="none" w:sz="0" w:space="0" w:color="auto"/>
              </w:divBdr>
            </w:div>
            <w:div w:id="891431413">
              <w:marLeft w:val="0"/>
              <w:marRight w:val="0"/>
              <w:marTop w:val="0"/>
              <w:marBottom w:val="0"/>
              <w:divBdr>
                <w:top w:val="none" w:sz="0" w:space="0" w:color="auto"/>
                <w:left w:val="none" w:sz="0" w:space="0" w:color="auto"/>
                <w:bottom w:val="none" w:sz="0" w:space="0" w:color="auto"/>
                <w:right w:val="none" w:sz="0" w:space="0" w:color="auto"/>
              </w:divBdr>
            </w:div>
            <w:div w:id="536697683">
              <w:marLeft w:val="0"/>
              <w:marRight w:val="0"/>
              <w:marTop w:val="0"/>
              <w:marBottom w:val="0"/>
              <w:divBdr>
                <w:top w:val="none" w:sz="0" w:space="0" w:color="auto"/>
                <w:left w:val="none" w:sz="0" w:space="0" w:color="auto"/>
                <w:bottom w:val="none" w:sz="0" w:space="0" w:color="auto"/>
                <w:right w:val="none" w:sz="0" w:space="0" w:color="auto"/>
              </w:divBdr>
            </w:div>
            <w:div w:id="837962268">
              <w:marLeft w:val="0"/>
              <w:marRight w:val="0"/>
              <w:marTop w:val="0"/>
              <w:marBottom w:val="0"/>
              <w:divBdr>
                <w:top w:val="none" w:sz="0" w:space="0" w:color="auto"/>
                <w:left w:val="none" w:sz="0" w:space="0" w:color="auto"/>
                <w:bottom w:val="none" w:sz="0" w:space="0" w:color="auto"/>
                <w:right w:val="none" w:sz="0" w:space="0" w:color="auto"/>
              </w:divBdr>
            </w:div>
            <w:div w:id="973758783">
              <w:marLeft w:val="0"/>
              <w:marRight w:val="0"/>
              <w:marTop w:val="0"/>
              <w:marBottom w:val="0"/>
              <w:divBdr>
                <w:top w:val="none" w:sz="0" w:space="0" w:color="auto"/>
                <w:left w:val="none" w:sz="0" w:space="0" w:color="auto"/>
                <w:bottom w:val="none" w:sz="0" w:space="0" w:color="auto"/>
                <w:right w:val="none" w:sz="0" w:space="0" w:color="auto"/>
              </w:divBdr>
            </w:div>
            <w:div w:id="1443694197">
              <w:marLeft w:val="0"/>
              <w:marRight w:val="0"/>
              <w:marTop w:val="0"/>
              <w:marBottom w:val="0"/>
              <w:divBdr>
                <w:top w:val="none" w:sz="0" w:space="0" w:color="auto"/>
                <w:left w:val="none" w:sz="0" w:space="0" w:color="auto"/>
                <w:bottom w:val="none" w:sz="0" w:space="0" w:color="auto"/>
                <w:right w:val="none" w:sz="0" w:space="0" w:color="auto"/>
              </w:divBdr>
            </w:div>
            <w:div w:id="1324047450">
              <w:marLeft w:val="0"/>
              <w:marRight w:val="0"/>
              <w:marTop w:val="0"/>
              <w:marBottom w:val="0"/>
              <w:divBdr>
                <w:top w:val="none" w:sz="0" w:space="0" w:color="auto"/>
                <w:left w:val="none" w:sz="0" w:space="0" w:color="auto"/>
                <w:bottom w:val="none" w:sz="0" w:space="0" w:color="auto"/>
                <w:right w:val="none" w:sz="0" w:space="0" w:color="auto"/>
              </w:divBdr>
            </w:div>
            <w:div w:id="190462168">
              <w:marLeft w:val="0"/>
              <w:marRight w:val="0"/>
              <w:marTop w:val="0"/>
              <w:marBottom w:val="0"/>
              <w:divBdr>
                <w:top w:val="none" w:sz="0" w:space="0" w:color="auto"/>
                <w:left w:val="none" w:sz="0" w:space="0" w:color="auto"/>
                <w:bottom w:val="none" w:sz="0" w:space="0" w:color="auto"/>
                <w:right w:val="none" w:sz="0" w:space="0" w:color="auto"/>
              </w:divBdr>
            </w:div>
            <w:div w:id="1490512544">
              <w:marLeft w:val="0"/>
              <w:marRight w:val="0"/>
              <w:marTop w:val="0"/>
              <w:marBottom w:val="0"/>
              <w:divBdr>
                <w:top w:val="none" w:sz="0" w:space="0" w:color="auto"/>
                <w:left w:val="none" w:sz="0" w:space="0" w:color="auto"/>
                <w:bottom w:val="none" w:sz="0" w:space="0" w:color="auto"/>
                <w:right w:val="none" w:sz="0" w:space="0" w:color="auto"/>
              </w:divBdr>
            </w:div>
            <w:div w:id="425419346">
              <w:marLeft w:val="0"/>
              <w:marRight w:val="0"/>
              <w:marTop w:val="0"/>
              <w:marBottom w:val="0"/>
              <w:divBdr>
                <w:top w:val="none" w:sz="0" w:space="0" w:color="auto"/>
                <w:left w:val="none" w:sz="0" w:space="0" w:color="auto"/>
                <w:bottom w:val="none" w:sz="0" w:space="0" w:color="auto"/>
                <w:right w:val="none" w:sz="0" w:space="0" w:color="auto"/>
              </w:divBdr>
            </w:div>
            <w:div w:id="2094550894">
              <w:marLeft w:val="0"/>
              <w:marRight w:val="0"/>
              <w:marTop w:val="0"/>
              <w:marBottom w:val="0"/>
              <w:divBdr>
                <w:top w:val="none" w:sz="0" w:space="0" w:color="auto"/>
                <w:left w:val="none" w:sz="0" w:space="0" w:color="auto"/>
                <w:bottom w:val="none" w:sz="0" w:space="0" w:color="auto"/>
                <w:right w:val="none" w:sz="0" w:space="0" w:color="auto"/>
              </w:divBdr>
            </w:div>
            <w:div w:id="1335761478">
              <w:marLeft w:val="0"/>
              <w:marRight w:val="0"/>
              <w:marTop w:val="0"/>
              <w:marBottom w:val="0"/>
              <w:divBdr>
                <w:top w:val="none" w:sz="0" w:space="0" w:color="auto"/>
                <w:left w:val="none" w:sz="0" w:space="0" w:color="auto"/>
                <w:bottom w:val="none" w:sz="0" w:space="0" w:color="auto"/>
                <w:right w:val="none" w:sz="0" w:space="0" w:color="auto"/>
              </w:divBdr>
            </w:div>
            <w:div w:id="126096891">
              <w:marLeft w:val="0"/>
              <w:marRight w:val="0"/>
              <w:marTop w:val="0"/>
              <w:marBottom w:val="0"/>
              <w:divBdr>
                <w:top w:val="none" w:sz="0" w:space="0" w:color="auto"/>
                <w:left w:val="none" w:sz="0" w:space="0" w:color="auto"/>
                <w:bottom w:val="none" w:sz="0" w:space="0" w:color="auto"/>
                <w:right w:val="none" w:sz="0" w:space="0" w:color="auto"/>
              </w:divBdr>
            </w:div>
            <w:div w:id="1558011502">
              <w:marLeft w:val="0"/>
              <w:marRight w:val="0"/>
              <w:marTop w:val="0"/>
              <w:marBottom w:val="0"/>
              <w:divBdr>
                <w:top w:val="none" w:sz="0" w:space="0" w:color="auto"/>
                <w:left w:val="none" w:sz="0" w:space="0" w:color="auto"/>
                <w:bottom w:val="none" w:sz="0" w:space="0" w:color="auto"/>
                <w:right w:val="none" w:sz="0" w:space="0" w:color="auto"/>
              </w:divBdr>
            </w:div>
            <w:div w:id="1406146162">
              <w:marLeft w:val="0"/>
              <w:marRight w:val="0"/>
              <w:marTop w:val="0"/>
              <w:marBottom w:val="0"/>
              <w:divBdr>
                <w:top w:val="none" w:sz="0" w:space="0" w:color="auto"/>
                <w:left w:val="none" w:sz="0" w:space="0" w:color="auto"/>
                <w:bottom w:val="none" w:sz="0" w:space="0" w:color="auto"/>
                <w:right w:val="none" w:sz="0" w:space="0" w:color="auto"/>
              </w:divBdr>
            </w:div>
            <w:div w:id="709493052">
              <w:marLeft w:val="0"/>
              <w:marRight w:val="0"/>
              <w:marTop w:val="0"/>
              <w:marBottom w:val="0"/>
              <w:divBdr>
                <w:top w:val="none" w:sz="0" w:space="0" w:color="auto"/>
                <w:left w:val="none" w:sz="0" w:space="0" w:color="auto"/>
                <w:bottom w:val="none" w:sz="0" w:space="0" w:color="auto"/>
                <w:right w:val="none" w:sz="0" w:space="0" w:color="auto"/>
              </w:divBdr>
            </w:div>
            <w:div w:id="1721902572">
              <w:marLeft w:val="0"/>
              <w:marRight w:val="0"/>
              <w:marTop w:val="0"/>
              <w:marBottom w:val="0"/>
              <w:divBdr>
                <w:top w:val="none" w:sz="0" w:space="0" w:color="auto"/>
                <w:left w:val="none" w:sz="0" w:space="0" w:color="auto"/>
                <w:bottom w:val="none" w:sz="0" w:space="0" w:color="auto"/>
                <w:right w:val="none" w:sz="0" w:space="0" w:color="auto"/>
              </w:divBdr>
            </w:div>
            <w:div w:id="1893271186">
              <w:marLeft w:val="0"/>
              <w:marRight w:val="0"/>
              <w:marTop w:val="0"/>
              <w:marBottom w:val="0"/>
              <w:divBdr>
                <w:top w:val="none" w:sz="0" w:space="0" w:color="auto"/>
                <w:left w:val="none" w:sz="0" w:space="0" w:color="auto"/>
                <w:bottom w:val="none" w:sz="0" w:space="0" w:color="auto"/>
                <w:right w:val="none" w:sz="0" w:space="0" w:color="auto"/>
              </w:divBdr>
            </w:div>
            <w:div w:id="337970187">
              <w:marLeft w:val="0"/>
              <w:marRight w:val="0"/>
              <w:marTop w:val="0"/>
              <w:marBottom w:val="0"/>
              <w:divBdr>
                <w:top w:val="none" w:sz="0" w:space="0" w:color="auto"/>
                <w:left w:val="none" w:sz="0" w:space="0" w:color="auto"/>
                <w:bottom w:val="none" w:sz="0" w:space="0" w:color="auto"/>
                <w:right w:val="none" w:sz="0" w:space="0" w:color="auto"/>
              </w:divBdr>
            </w:div>
            <w:div w:id="635795324">
              <w:marLeft w:val="0"/>
              <w:marRight w:val="0"/>
              <w:marTop w:val="0"/>
              <w:marBottom w:val="0"/>
              <w:divBdr>
                <w:top w:val="none" w:sz="0" w:space="0" w:color="auto"/>
                <w:left w:val="none" w:sz="0" w:space="0" w:color="auto"/>
                <w:bottom w:val="none" w:sz="0" w:space="0" w:color="auto"/>
                <w:right w:val="none" w:sz="0" w:space="0" w:color="auto"/>
              </w:divBdr>
            </w:div>
            <w:div w:id="175734583">
              <w:marLeft w:val="0"/>
              <w:marRight w:val="0"/>
              <w:marTop w:val="0"/>
              <w:marBottom w:val="0"/>
              <w:divBdr>
                <w:top w:val="none" w:sz="0" w:space="0" w:color="auto"/>
                <w:left w:val="none" w:sz="0" w:space="0" w:color="auto"/>
                <w:bottom w:val="none" w:sz="0" w:space="0" w:color="auto"/>
                <w:right w:val="none" w:sz="0" w:space="0" w:color="auto"/>
              </w:divBdr>
            </w:div>
            <w:div w:id="557473906">
              <w:marLeft w:val="0"/>
              <w:marRight w:val="0"/>
              <w:marTop w:val="0"/>
              <w:marBottom w:val="0"/>
              <w:divBdr>
                <w:top w:val="none" w:sz="0" w:space="0" w:color="auto"/>
                <w:left w:val="none" w:sz="0" w:space="0" w:color="auto"/>
                <w:bottom w:val="none" w:sz="0" w:space="0" w:color="auto"/>
                <w:right w:val="none" w:sz="0" w:space="0" w:color="auto"/>
              </w:divBdr>
            </w:div>
            <w:div w:id="122886726">
              <w:marLeft w:val="0"/>
              <w:marRight w:val="0"/>
              <w:marTop w:val="0"/>
              <w:marBottom w:val="0"/>
              <w:divBdr>
                <w:top w:val="none" w:sz="0" w:space="0" w:color="auto"/>
                <w:left w:val="none" w:sz="0" w:space="0" w:color="auto"/>
                <w:bottom w:val="none" w:sz="0" w:space="0" w:color="auto"/>
                <w:right w:val="none" w:sz="0" w:space="0" w:color="auto"/>
              </w:divBdr>
            </w:div>
            <w:div w:id="101069352">
              <w:marLeft w:val="0"/>
              <w:marRight w:val="0"/>
              <w:marTop w:val="0"/>
              <w:marBottom w:val="0"/>
              <w:divBdr>
                <w:top w:val="none" w:sz="0" w:space="0" w:color="auto"/>
                <w:left w:val="none" w:sz="0" w:space="0" w:color="auto"/>
                <w:bottom w:val="none" w:sz="0" w:space="0" w:color="auto"/>
                <w:right w:val="none" w:sz="0" w:space="0" w:color="auto"/>
              </w:divBdr>
            </w:div>
            <w:div w:id="1273394878">
              <w:marLeft w:val="0"/>
              <w:marRight w:val="0"/>
              <w:marTop w:val="0"/>
              <w:marBottom w:val="0"/>
              <w:divBdr>
                <w:top w:val="none" w:sz="0" w:space="0" w:color="auto"/>
                <w:left w:val="none" w:sz="0" w:space="0" w:color="auto"/>
                <w:bottom w:val="none" w:sz="0" w:space="0" w:color="auto"/>
                <w:right w:val="none" w:sz="0" w:space="0" w:color="auto"/>
              </w:divBdr>
            </w:div>
            <w:div w:id="38625966">
              <w:marLeft w:val="0"/>
              <w:marRight w:val="0"/>
              <w:marTop w:val="0"/>
              <w:marBottom w:val="0"/>
              <w:divBdr>
                <w:top w:val="none" w:sz="0" w:space="0" w:color="auto"/>
                <w:left w:val="none" w:sz="0" w:space="0" w:color="auto"/>
                <w:bottom w:val="none" w:sz="0" w:space="0" w:color="auto"/>
                <w:right w:val="none" w:sz="0" w:space="0" w:color="auto"/>
              </w:divBdr>
            </w:div>
            <w:div w:id="1559050066">
              <w:marLeft w:val="0"/>
              <w:marRight w:val="0"/>
              <w:marTop w:val="0"/>
              <w:marBottom w:val="0"/>
              <w:divBdr>
                <w:top w:val="none" w:sz="0" w:space="0" w:color="auto"/>
                <w:left w:val="none" w:sz="0" w:space="0" w:color="auto"/>
                <w:bottom w:val="none" w:sz="0" w:space="0" w:color="auto"/>
                <w:right w:val="none" w:sz="0" w:space="0" w:color="auto"/>
              </w:divBdr>
            </w:div>
            <w:div w:id="1495409813">
              <w:marLeft w:val="0"/>
              <w:marRight w:val="0"/>
              <w:marTop w:val="0"/>
              <w:marBottom w:val="0"/>
              <w:divBdr>
                <w:top w:val="none" w:sz="0" w:space="0" w:color="auto"/>
                <w:left w:val="none" w:sz="0" w:space="0" w:color="auto"/>
                <w:bottom w:val="none" w:sz="0" w:space="0" w:color="auto"/>
                <w:right w:val="none" w:sz="0" w:space="0" w:color="auto"/>
              </w:divBdr>
            </w:div>
            <w:div w:id="1801147868">
              <w:marLeft w:val="0"/>
              <w:marRight w:val="0"/>
              <w:marTop w:val="0"/>
              <w:marBottom w:val="0"/>
              <w:divBdr>
                <w:top w:val="none" w:sz="0" w:space="0" w:color="auto"/>
                <w:left w:val="none" w:sz="0" w:space="0" w:color="auto"/>
                <w:bottom w:val="none" w:sz="0" w:space="0" w:color="auto"/>
                <w:right w:val="none" w:sz="0" w:space="0" w:color="auto"/>
              </w:divBdr>
            </w:div>
            <w:div w:id="2045471811">
              <w:marLeft w:val="0"/>
              <w:marRight w:val="0"/>
              <w:marTop w:val="0"/>
              <w:marBottom w:val="0"/>
              <w:divBdr>
                <w:top w:val="none" w:sz="0" w:space="0" w:color="auto"/>
                <w:left w:val="none" w:sz="0" w:space="0" w:color="auto"/>
                <w:bottom w:val="none" w:sz="0" w:space="0" w:color="auto"/>
                <w:right w:val="none" w:sz="0" w:space="0" w:color="auto"/>
              </w:divBdr>
            </w:div>
            <w:div w:id="1627812779">
              <w:marLeft w:val="0"/>
              <w:marRight w:val="0"/>
              <w:marTop w:val="0"/>
              <w:marBottom w:val="0"/>
              <w:divBdr>
                <w:top w:val="none" w:sz="0" w:space="0" w:color="auto"/>
                <w:left w:val="none" w:sz="0" w:space="0" w:color="auto"/>
                <w:bottom w:val="none" w:sz="0" w:space="0" w:color="auto"/>
                <w:right w:val="none" w:sz="0" w:space="0" w:color="auto"/>
              </w:divBdr>
            </w:div>
            <w:div w:id="5905094">
              <w:marLeft w:val="0"/>
              <w:marRight w:val="0"/>
              <w:marTop w:val="0"/>
              <w:marBottom w:val="0"/>
              <w:divBdr>
                <w:top w:val="none" w:sz="0" w:space="0" w:color="auto"/>
                <w:left w:val="none" w:sz="0" w:space="0" w:color="auto"/>
                <w:bottom w:val="none" w:sz="0" w:space="0" w:color="auto"/>
                <w:right w:val="none" w:sz="0" w:space="0" w:color="auto"/>
              </w:divBdr>
            </w:div>
            <w:div w:id="580213599">
              <w:marLeft w:val="0"/>
              <w:marRight w:val="0"/>
              <w:marTop w:val="0"/>
              <w:marBottom w:val="0"/>
              <w:divBdr>
                <w:top w:val="none" w:sz="0" w:space="0" w:color="auto"/>
                <w:left w:val="none" w:sz="0" w:space="0" w:color="auto"/>
                <w:bottom w:val="none" w:sz="0" w:space="0" w:color="auto"/>
                <w:right w:val="none" w:sz="0" w:space="0" w:color="auto"/>
              </w:divBdr>
            </w:div>
            <w:div w:id="1613050929">
              <w:marLeft w:val="0"/>
              <w:marRight w:val="0"/>
              <w:marTop w:val="0"/>
              <w:marBottom w:val="0"/>
              <w:divBdr>
                <w:top w:val="none" w:sz="0" w:space="0" w:color="auto"/>
                <w:left w:val="none" w:sz="0" w:space="0" w:color="auto"/>
                <w:bottom w:val="none" w:sz="0" w:space="0" w:color="auto"/>
                <w:right w:val="none" w:sz="0" w:space="0" w:color="auto"/>
              </w:divBdr>
            </w:div>
            <w:div w:id="1612928903">
              <w:marLeft w:val="0"/>
              <w:marRight w:val="0"/>
              <w:marTop w:val="0"/>
              <w:marBottom w:val="0"/>
              <w:divBdr>
                <w:top w:val="none" w:sz="0" w:space="0" w:color="auto"/>
                <w:left w:val="none" w:sz="0" w:space="0" w:color="auto"/>
                <w:bottom w:val="none" w:sz="0" w:space="0" w:color="auto"/>
                <w:right w:val="none" w:sz="0" w:space="0" w:color="auto"/>
              </w:divBdr>
            </w:div>
            <w:div w:id="2031180635">
              <w:marLeft w:val="0"/>
              <w:marRight w:val="0"/>
              <w:marTop w:val="0"/>
              <w:marBottom w:val="0"/>
              <w:divBdr>
                <w:top w:val="none" w:sz="0" w:space="0" w:color="auto"/>
                <w:left w:val="none" w:sz="0" w:space="0" w:color="auto"/>
                <w:bottom w:val="none" w:sz="0" w:space="0" w:color="auto"/>
                <w:right w:val="none" w:sz="0" w:space="0" w:color="auto"/>
              </w:divBdr>
            </w:div>
            <w:div w:id="1545369515">
              <w:marLeft w:val="0"/>
              <w:marRight w:val="0"/>
              <w:marTop w:val="0"/>
              <w:marBottom w:val="0"/>
              <w:divBdr>
                <w:top w:val="none" w:sz="0" w:space="0" w:color="auto"/>
                <w:left w:val="none" w:sz="0" w:space="0" w:color="auto"/>
                <w:bottom w:val="none" w:sz="0" w:space="0" w:color="auto"/>
                <w:right w:val="none" w:sz="0" w:space="0" w:color="auto"/>
              </w:divBdr>
            </w:div>
            <w:div w:id="1970550803">
              <w:marLeft w:val="0"/>
              <w:marRight w:val="0"/>
              <w:marTop w:val="0"/>
              <w:marBottom w:val="0"/>
              <w:divBdr>
                <w:top w:val="none" w:sz="0" w:space="0" w:color="auto"/>
                <w:left w:val="none" w:sz="0" w:space="0" w:color="auto"/>
                <w:bottom w:val="none" w:sz="0" w:space="0" w:color="auto"/>
                <w:right w:val="none" w:sz="0" w:space="0" w:color="auto"/>
              </w:divBdr>
            </w:div>
            <w:div w:id="1494375205">
              <w:marLeft w:val="0"/>
              <w:marRight w:val="0"/>
              <w:marTop w:val="0"/>
              <w:marBottom w:val="0"/>
              <w:divBdr>
                <w:top w:val="none" w:sz="0" w:space="0" w:color="auto"/>
                <w:left w:val="none" w:sz="0" w:space="0" w:color="auto"/>
                <w:bottom w:val="none" w:sz="0" w:space="0" w:color="auto"/>
                <w:right w:val="none" w:sz="0" w:space="0" w:color="auto"/>
              </w:divBdr>
            </w:div>
            <w:div w:id="849878629">
              <w:marLeft w:val="0"/>
              <w:marRight w:val="0"/>
              <w:marTop w:val="0"/>
              <w:marBottom w:val="0"/>
              <w:divBdr>
                <w:top w:val="none" w:sz="0" w:space="0" w:color="auto"/>
                <w:left w:val="none" w:sz="0" w:space="0" w:color="auto"/>
                <w:bottom w:val="none" w:sz="0" w:space="0" w:color="auto"/>
                <w:right w:val="none" w:sz="0" w:space="0" w:color="auto"/>
              </w:divBdr>
            </w:div>
            <w:div w:id="723063962">
              <w:marLeft w:val="0"/>
              <w:marRight w:val="0"/>
              <w:marTop w:val="0"/>
              <w:marBottom w:val="0"/>
              <w:divBdr>
                <w:top w:val="none" w:sz="0" w:space="0" w:color="auto"/>
                <w:left w:val="none" w:sz="0" w:space="0" w:color="auto"/>
                <w:bottom w:val="none" w:sz="0" w:space="0" w:color="auto"/>
                <w:right w:val="none" w:sz="0" w:space="0" w:color="auto"/>
              </w:divBdr>
            </w:div>
            <w:div w:id="1657607309">
              <w:marLeft w:val="0"/>
              <w:marRight w:val="0"/>
              <w:marTop w:val="0"/>
              <w:marBottom w:val="0"/>
              <w:divBdr>
                <w:top w:val="none" w:sz="0" w:space="0" w:color="auto"/>
                <w:left w:val="none" w:sz="0" w:space="0" w:color="auto"/>
                <w:bottom w:val="none" w:sz="0" w:space="0" w:color="auto"/>
                <w:right w:val="none" w:sz="0" w:space="0" w:color="auto"/>
              </w:divBdr>
            </w:div>
            <w:div w:id="2044935920">
              <w:marLeft w:val="0"/>
              <w:marRight w:val="0"/>
              <w:marTop w:val="0"/>
              <w:marBottom w:val="0"/>
              <w:divBdr>
                <w:top w:val="none" w:sz="0" w:space="0" w:color="auto"/>
                <w:left w:val="none" w:sz="0" w:space="0" w:color="auto"/>
                <w:bottom w:val="none" w:sz="0" w:space="0" w:color="auto"/>
                <w:right w:val="none" w:sz="0" w:space="0" w:color="auto"/>
              </w:divBdr>
            </w:div>
            <w:div w:id="700475385">
              <w:marLeft w:val="0"/>
              <w:marRight w:val="0"/>
              <w:marTop w:val="0"/>
              <w:marBottom w:val="0"/>
              <w:divBdr>
                <w:top w:val="none" w:sz="0" w:space="0" w:color="auto"/>
                <w:left w:val="none" w:sz="0" w:space="0" w:color="auto"/>
                <w:bottom w:val="none" w:sz="0" w:space="0" w:color="auto"/>
                <w:right w:val="none" w:sz="0" w:space="0" w:color="auto"/>
              </w:divBdr>
            </w:div>
            <w:div w:id="1411730075">
              <w:marLeft w:val="0"/>
              <w:marRight w:val="0"/>
              <w:marTop w:val="0"/>
              <w:marBottom w:val="0"/>
              <w:divBdr>
                <w:top w:val="none" w:sz="0" w:space="0" w:color="auto"/>
                <w:left w:val="none" w:sz="0" w:space="0" w:color="auto"/>
                <w:bottom w:val="none" w:sz="0" w:space="0" w:color="auto"/>
                <w:right w:val="none" w:sz="0" w:space="0" w:color="auto"/>
              </w:divBdr>
            </w:div>
            <w:div w:id="700473439">
              <w:marLeft w:val="0"/>
              <w:marRight w:val="0"/>
              <w:marTop w:val="0"/>
              <w:marBottom w:val="0"/>
              <w:divBdr>
                <w:top w:val="none" w:sz="0" w:space="0" w:color="auto"/>
                <w:left w:val="none" w:sz="0" w:space="0" w:color="auto"/>
                <w:bottom w:val="none" w:sz="0" w:space="0" w:color="auto"/>
                <w:right w:val="none" w:sz="0" w:space="0" w:color="auto"/>
              </w:divBdr>
            </w:div>
            <w:div w:id="793904831">
              <w:marLeft w:val="0"/>
              <w:marRight w:val="0"/>
              <w:marTop w:val="0"/>
              <w:marBottom w:val="0"/>
              <w:divBdr>
                <w:top w:val="none" w:sz="0" w:space="0" w:color="auto"/>
                <w:left w:val="none" w:sz="0" w:space="0" w:color="auto"/>
                <w:bottom w:val="none" w:sz="0" w:space="0" w:color="auto"/>
                <w:right w:val="none" w:sz="0" w:space="0" w:color="auto"/>
              </w:divBdr>
            </w:div>
            <w:div w:id="1457604022">
              <w:marLeft w:val="0"/>
              <w:marRight w:val="0"/>
              <w:marTop w:val="0"/>
              <w:marBottom w:val="0"/>
              <w:divBdr>
                <w:top w:val="none" w:sz="0" w:space="0" w:color="auto"/>
                <w:left w:val="none" w:sz="0" w:space="0" w:color="auto"/>
                <w:bottom w:val="none" w:sz="0" w:space="0" w:color="auto"/>
                <w:right w:val="none" w:sz="0" w:space="0" w:color="auto"/>
              </w:divBdr>
            </w:div>
            <w:div w:id="1967352825">
              <w:marLeft w:val="0"/>
              <w:marRight w:val="0"/>
              <w:marTop w:val="0"/>
              <w:marBottom w:val="0"/>
              <w:divBdr>
                <w:top w:val="none" w:sz="0" w:space="0" w:color="auto"/>
                <w:left w:val="none" w:sz="0" w:space="0" w:color="auto"/>
                <w:bottom w:val="none" w:sz="0" w:space="0" w:color="auto"/>
                <w:right w:val="none" w:sz="0" w:space="0" w:color="auto"/>
              </w:divBdr>
            </w:div>
            <w:div w:id="1728795725">
              <w:marLeft w:val="0"/>
              <w:marRight w:val="0"/>
              <w:marTop w:val="0"/>
              <w:marBottom w:val="0"/>
              <w:divBdr>
                <w:top w:val="none" w:sz="0" w:space="0" w:color="auto"/>
                <w:left w:val="none" w:sz="0" w:space="0" w:color="auto"/>
                <w:bottom w:val="none" w:sz="0" w:space="0" w:color="auto"/>
                <w:right w:val="none" w:sz="0" w:space="0" w:color="auto"/>
              </w:divBdr>
            </w:div>
            <w:div w:id="949703903">
              <w:marLeft w:val="0"/>
              <w:marRight w:val="0"/>
              <w:marTop w:val="0"/>
              <w:marBottom w:val="0"/>
              <w:divBdr>
                <w:top w:val="none" w:sz="0" w:space="0" w:color="auto"/>
                <w:left w:val="none" w:sz="0" w:space="0" w:color="auto"/>
                <w:bottom w:val="none" w:sz="0" w:space="0" w:color="auto"/>
                <w:right w:val="none" w:sz="0" w:space="0" w:color="auto"/>
              </w:divBdr>
            </w:div>
            <w:div w:id="146211323">
              <w:marLeft w:val="0"/>
              <w:marRight w:val="0"/>
              <w:marTop w:val="0"/>
              <w:marBottom w:val="0"/>
              <w:divBdr>
                <w:top w:val="none" w:sz="0" w:space="0" w:color="auto"/>
                <w:left w:val="none" w:sz="0" w:space="0" w:color="auto"/>
                <w:bottom w:val="none" w:sz="0" w:space="0" w:color="auto"/>
                <w:right w:val="none" w:sz="0" w:space="0" w:color="auto"/>
              </w:divBdr>
            </w:div>
            <w:div w:id="1941405257">
              <w:marLeft w:val="0"/>
              <w:marRight w:val="0"/>
              <w:marTop w:val="0"/>
              <w:marBottom w:val="0"/>
              <w:divBdr>
                <w:top w:val="none" w:sz="0" w:space="0" w:color="auto"/>
                <w:left w:val="none" w:sz="0" w:space="0" w:color="auto"/>
                <w:bottom w:val="none" w:sz="0" w:space="0" w:color="auto"/>
                <w:right w:val="none" w:sz="0" w:space="0" w:color="auto"/>
              </w:divBdr>
            </w:div>
            <w:div w:id="1918786511">
              <w:marLeft w:val="0"/>
              <w:marRight w:val="0"/>
              <w:marTop w:val="0"/>
              <w:marBottom w:val="0"/>
              <w:divBdr>
                <w:top w:val="none" w:sz="0" w:space="0" w:color="auto"/>
                <w:left w:val="none" w:sz="0" w:space="0" w:color="auto"/>
                <w:bottom w:val="none" w:sz="0" w:space="0" w:color="auto"/>
                <w:right w:val="none" w:sz="0" w:space="0" w:color="auto"/>
              </w:divBdr>
            </w:div>
            <w:div w:id="953363793">
              <w:marLeft w:val="0"/>
              <w:marRight w:val="0"/>
              <w:marTop w:val="0"/>
              <w:marBottom w:val="0"/>
              <w:divBdr>
                <w:top w:val="none" w:sz="0" w:space="0" w:color="auto"/>
                <w:left w:val="none" w:sz="0" w:space="0" w:color="auto"/>
                <w:bottom w:val="none" w:sz="0" w:space="0" w:color="auto"/>
                <w:right w:val="none" w:sz="0" w:space="0" w:color="auto"/>
              </w:divBdr>
            </w:div>
            <w:div w:id="365562659">
              <w:marLeft w:val="0"/>
              <w:marRight w:val="0"/>
              <w:marTop w:val="0"/>
              <w:marBottom w:val="0"/>
              <w:divBdr>
                <w:top w:val="none" w:sz="0" w:space="0" w:color="auto"/>
                <w:left w:val="none" w:sz="0" w:space="0" w:color="auto"/>
                <w:bottom w:val="none" w:sz="0" w:space="0" w:color="auto"/>
                <w:right w:val="none" w:sz="0" w:space="0" w:color="auto"/>
              </w:divBdr>
            </w:div>
            <w:div w:id="1203639312">
              <w:marLeft w:val="0"/>
              <w:marRight w:val="0"/>
              <w:marTop w:val="0"/>
              <w:marBottom w:val="0"/>
              <w:divBdr>
                <w:top w:val="none" w:sz="0" w:space="0" w:color="auto"/>
                <w:left w:val="none" w:sz="0" w:space="0" w:color="auto"/>
                <w:bottom w:val="none" w:sz="0" w:space="0" w:color="auto"/>
                <w:right w:val="none" w:sz="0" w:space="0" w:color="auto"/>
              </w:divBdr>
            </w:div>
            <w:div w:id="908467124">
              <w:marLeft w:val="0"/>
              <w:marRight w:val="0"/>
              <w:marTop w:val="0"/>
              <w:marBottom w:val="0"/>
              <w:divBdr>
                <w:top w:val="none" w:sz="0" w:space="0" w:color="auto"/>
                <w:left w:val="none" w:sz="0" w:space="0" w:color="auto"/>
                <w:bottom w:val="none" w:sz="0" w:space="0" w:color="auto"/>
                <w:right w:val="none" w:sz="0" w:space="0" w:color="auto"/>
              </w:divBdr>
            </w:div>
            <w:div w:id="1339843727">
              <w:marLeft w:val="0"/>
              <w:marRight w:val="0"/>
              <w:marTop w:val="0"/>
              <w:marBottom w:val="0"/>
              <w:divBdr>
                <w:top w:val="none" w:sz="0" w:space="0" w:color="auto"/>
                <w:left w:val="none" w:sz="0" w:space="0" w:color="auto"/>
                <w:bottom w:val="none" w:sz="0" w:space="0" w:color="auto"/>
                <w:right w:val="none" w:sz="0" w:space="0" w:color="auto"/>
              </w:divBdr>
            </w:div>
            <w:div w:id="1979338528">
              <w:marLeft w:val="0"/>
              <w:marRight w:val="0"/>
              <w:marTop w:val="0"/>
              <w:marBottom w:val="0"/>
              <w:divBdr>
                <w:top w:val="none" w:sz="0" w:space="0" w:color="auto"/>
                <w:left w:val="none" w:sz="0" w:space="0" w:color="auto"/>
                <w:bottom w:val="none" w:sz="0" w:space="0" w:color="auto"/>
                <w:right w:val="none" w:sz="0" w:space="0" w:color="auto"/>
              </w:divBdr>
            </w:div>
            <w:div w:id="197813404">
              <w:marLeft w:val="0"/>
              <w:marRight w:val="0"/>
              <w:marTop w:val="0"/>
              <w:marBottom w:val="0"/>
              <w:divBdr>
                <w:top w:val="none" w:sz="0" w:space="0" w:color="auto"/>
                <w:left w:val="none" w:sz="0" w:space="0" w:color="auto"/>
                <w:bottom w:val="none" w:sz="0" w:space="0" w:color="auto"/>
                <w:right w:val="none" w:sz="0" w:space="0" w:color="auto"/>
              </w:divBdr>
            </w:div>
            <w:div w:id="1204518384">
              <w:marLeft w:val="0"/>
              <w:marRight w:val="0"/>
              <w:marTop w:val="0"/>
              <w:marBottom w:val="0"/>
              <w:divBdr>
                <w:top w:val="none" w:sz="0" w:space="0" w:color="auto"/>
                <w:left w:val="none" w:sz="0" w:space="0" w:color="auto"/>
                <w:bottom w:val="none" w:sz="0" w:space="0" w:color="auto"/>
                <w:right w:val="none" w:sz="0" w:space="0" w:color="auto"/>
              </w:divBdr>
            </w:div>
            <w:div w:id="336734595">
              <w:marLeft w:val="0"/>
              <w:marRight w:val="0"/>
              <w:marTop w:val="0"/>
              <w:marBottom w:val="0"/>
              <w:divBdr>
                <w:top w:val="none" w:sz="0" w:space="0" w:color="auto"/>
                <w:left w:val="none" w:sz="0" w:space="0" w:color="auto"/>
                <w:bottom w:val="none" w:sz="0" w:space="0" w:color="auto"/>
                <w:right w:val="none" w:sz="0" w:space="0" w:color="auto"/>
              </w:divBdr>
            </w:div>
            <w:div w:id="168444817">
              <w:marLeft w:val="0"/>
              <w:marRight w:val="0"/>
              <w:marTop w:val="0"/>
              <w:marBottom w:val="0"/>
              <w:divBdr>
                <w:top w:val="none" w:sz="0" w:space="0" w:color="auto"/>
                <w:left w:val="none" w:sz="0" w:space="0" w:color="auto"/>
                <w:bottom w:val="none" w:sz="0" w:space="0" w:color="auto"/>
                <w:right w:val="none" w:sz="0" w:space="0" w:color="auto"/>
              </w:divBdr>
            </w:div>
            <w:div w:id="680816962">
              <w:marLeft w:val="0"/>
              <w:marRight w:val="0"/>
              <w:marTop w:val="0"/>
              <w:marBottom w:val="0"/>
              <w:divBdr>
                <w:top w:val="none" w:sz="0" w:space="0" w:color="auto"/>
                <w:left w:val="none" w:sz="0" w:space="0" w:color="auto"/>
                <w:bottom w:val="none" w:sz="0" w:space="0" w:color="auto"/>
                <w:right w:val="none" w:sz="0" w:space="0" w:color="auto"/>
              </w:divBdr>
            </w:div>
            <w:div w:id="224528850">
              <w:marLeft w:val="0"/>
              <w:marRight w:val="0"/>
              <w:marTop w:val="0"/>
              <w:marBottom w:val="0"/>
              <w:divBdr>
                <w:top w:val="none" w:sz="0" w:space="0" w:color="auto"/>
                <w:left w:val="none" w:sz="0" w:space="0" w:color="auto"/>
                <w:bottom w:val="none" w:sz="0" w:space="0" w:color="auto"/>
                <w:right w:val="none" w:sz="0" w:space="0" w:color="auto"/>
              </w:divBdr>
            </w:div>
            <w:div w:id="1508137971">
              <w:marLeft w:val="0"/>
              <w:marRight w:val="0"/>
              <w:marTop w:val="0"/>
              <w:marBottom w:val="0"/>
              <w:divBdr>
                <w:top w:val="none" w:sz="0" w:space="0" w:color="auto"/>
                <w:left w:val="none" w:sz="0" w:space="0" w:color="auto"/>
                <w:bottom w:val="none" w:sz="0" w:space="0" w:color="auto"/>
                <w:right w:val="none" w:sz="0" w:space="0" w:color="auto"/>
              </w:divBdr>
            </w:div>
            <w:div w:id="720791810">
              <w:marLeft w:val="0"/>
              <w:marRight w:val="0"/>
              <w:marTop w:val="0"/>
              <w:marBottom w:val="0"/>
              <w:divBdr>
                <w:top w:val="none" w:sz="0" w:space="0" w:color="auto"/>
                <w:left w:val="none" w:sz="0" w:space="0" w:color="auto"/>
                <w:bottom w:val="none" w:sz="0" w:space="0" w:color="auto"/>
                <w:right w:val="none" w:sz="0" w:space="0" w:color="auto"/>
              </w:divBdr>
            </w:div>
            <w:div w:id="198205658">
              <w:marLeft w:val="0"/>
              <w:marRight w:val="0"/>
              <w:marTop w:val="0"/>
              <w:marBottom w:val="0"/>
              <w:divBdr>
                <w:top w:val="none" w:sz="0" w:space="0" w:color="auto"/>
                <w:left w:val="none" w:sz="0" w:space="0" w:color="auto"/>
                <w:bottom w:val="none" w:sz="0" w:space="0" w:color="auto"/>
                <w:right w:val="none" w:sz="0" w:space="0" w:color="auto"/>
              </w:divBdr>
            </w:div>
            <w:div w:id="856112845">
              <w:marLeft w:val="0"/>
              <w:marRight w:val="0"/>
              <w:marTop w:val="0"/>
              <w:marBottom w:val="0"/>
              <w:divBdr>
                <w:top w:val="none" w:sz="0" w:space="0" w:color="auto"/>
                <w:left w:val="none" w:sz="0" w:space="0" w:color="auto"/>
                <w:bottom w:val="none" w:sz="0" w:space="0" w:color="auto"/>
                <w:right w:val="none" w:sz="0" w:space="0" w:color="auto"/>
              </w:divBdr>
            </w:div>
            <w:div w:id="1374502405">
              <w:marLeft w:val="0"/>
              <w:marRight w:val="0"/>
              <w:marTop w:val="0"/>
              <w:marBottom w:val="0"/>
              <w:divBdr>
                <w:top w:val="none" w:sz="0" w:space="0" w:color="auto"/>
                <w:left w:val="none" w:sz="0" w:space="0" w:color="auto"/>
                <w:bottom w:val="none" w:sz="0" w:space="0" w:color="auto"/>
                <w:right w:val="none" w:sz="0" w:space="0" w:color="auto"/>
              </w:divBdr>
            </w:div>
            <w:div w:id="1338769591">
              <w:marLeft w:val="0"/>
              <w:marRight w:val="0"/>
              <w:marTop w:val="0"/>
              <w:marBottom w:val="0"/>
              <w:divBdr>
                <w:top w:val="none" w:sz="0" w:space="0" w:color="auto"/>
                <w:left w:val="none" w:sz="0" w:space="0" w:color="auto"/>
                <w:bottom w:val="none" w:sz="0" w:space="0" w:color="auto"/>
                <w:right w:val="none" w:sz="0" w:space="0" w:color="auto"/>
              </w:divBdr>
            </w:div>
            <w:div w:id="2030989034">
              <w:marLeft w:val="0"/>
              <w:marRight w:val="0"/>
              <w:marTop w:val="0"/>
              <w:marBottom w:val="0"/>
              <w:divBdr>
                <w:top w:val="none" w:sz="0" w:space="0" w:color="auto"/>
                <w:left w:val="none" w:sz="0" w:space="0" w:color="auto"/>
                <w:bottom w:val="none" w:sz="0" w:space="0" w:color="auto"/>
                <w:right w:val="none" w:sz="0" w:space="0" w:color="auto"/>
              </w:divBdr>
            </w:div>
            <w:div w:id="981423606">
              <w:marLeft w:val="0"/>
              <w:marRight w:val="0"/>
              <w:marTop w:val="0"/>
              <w:marBottom w:val="0"/>
              <w:divBdr>
                <w:top w:val="none" w:sz="0" w:space="0" w:color="auto"/>
                <w:left w:val="none" w:sz="0" w:space="0" w:color="auto"/>
                <w:bottom w:val="none" w:sz="0" w:space="0" w:color="auto"/>
                <w:right w:val="none" w:sz="0" w:space="0" w:color="auto"/>
              </w:divBdr>
            </w:div>
            <w:div w:id="1700859349">
              <w:marLeft w:val="0"/>
              <w:marRight w:val="0"/>
              <w:marTop w:val="0"/>
              <w:marBottom w:val="0"/>
              <w:divBdr>
                <w:top w:val="none" w:sz="0" w:space="0" w:color="auto"/>
                <w:left w:val="none" w:sz="0" w:space="0" w:color="auto"/>
                <w:bottom w:val="none" w:sz="0" w:space="0" w:color="auto"/>
                <w:right w:val="none" w:sz="0" w:space="0" w:color="auto"/>
              </w:divBdr>
            </w:div>
            <w:div w:id="546988271">
              <w:marLeft w:val="0"/>
              <w:marRight w:val="0"/>
              <w:marTop w:val="0"/>
              <w:marBottom w:val="0"/>
              <w:divBdr>
                <w:top w:val="none" w:sz="0" w:space="0" w:color="auto"/>
                <w:left w:val="none" w:sz="0" w:space="0" w:color="auto"/>
                <w:bottom w:val="none" w:sz="0" w:space="0" w:color="auto"/>
                <w:right w:val="none" w:sz="0" w:space="0" w:color="auto"/>
              </w:divBdr>
            </w:div>
            <w:div w:id="1424690556">
              <w:marLeft w:val="0"/>
              <w:marRight w:val="0"/>
              <w:marTop w:val="0"/>
              <w:marBottom w:val="0"/>
              <w:divBdr>
                <w:top w:val="none" w:sz="0" w:space="0" w:color="auto"/>
                <w:left w:val="none" w:sz="0" w:space="0" w:color="auto"/>
                <w:bottom w:val="none" w:sz="0" w:space="0" w:color="auto"/>
                <w:right w:val="none" w:sz="0" w:space="0" w:color="auto"/>
              </w:divBdr>
            </w:div>
            <w:div w:id="1815564831">
              <w:marLeft w:val="0"/>
              <w:marRight w:val="0"/>
              <w:marTop w:val="0"/>
              <w:marBottom w:val="0"/>
              <w:divBdr>
                <w:top w:val="none" w:sz="0" w:space="0" w:color="auto"/>
                <w:left w:val="none" w:sz="0" w:space="0" w:color="auto"/>
                <w:bottom w:val="none" w:sz="0" w:space="0" w:color="auto"/>
                <w:right w:val="none" w:sz="0" w:space="0" w:color="auto"/>
              </w:divBdr>
            </w:div>
            <w:div w:id="105541971">
              <w:marLeft w:val="0"/>
              <w:marRight w:val="0"/>
              <w:marTop w:val="0"/>
              <w:marBottom w:val="0"/>
              <w:divBdr>
                <w:top w:val="none" w:sz="0" w:space="0" w:color="auto"/>
                <w:left w:val="none" w:sz="0" w:space="0" w:color="auto"/>
                <w:bottom w:val="none" w:sz="0" w:space="0" w:color="auto"/>
                <w:right w:val="none" w:sz="0" w:space="0" w:color="auto"/>
              </w:divBdr>
            </w:div>
            <w:div w:id="795759293">
              <w:marLeft w:val="0"/>
              <w:marRight w:val="0"/>
              <w:marTop w:val="0"/>
              <w:marBottom w:val="0"/>
              <w:divBdr>
                <w:top w:val="none" w:sz="0" w:space="0" w:color="auto"/>
                <w:left w:val="none" w:sz="0" w:space="0" w:color="auto"/>
                <w:bottom w:val="none" w:sz="0" w:space="0" w:color="auto"/>
                <w:right w:val="none" w:sz="0" w:space="0" w:color="auto"/>
              </w:divBdr>
            </w:div>
            <w:div w:id="781923189">
              <w:marLeft w:val="0"/>
              <w:marRight w:val="0"/>
              <w:marTop w:val="0"/>
              <w:marBottom w:val="0"/>
              <w:divBdr>
                <w:top w:val="none" w:sz="0" w:space="0" w:color="auto"/>
                <w:left w:val="none" w:sz="0" w:space="0" w:color="auto"/>
                <w:bottom w:val="none" w:sz="0" w:space="0" w:color="auto"/>
                <w:right w:val="none" w:sz="0" w:space="0" w:color="auto"/>
              </w:divBdr>
            </w:div>
            <w:div w:id="700328762">
              <w:marLeft w:val="0"/>
              <w:marRight w:val="0"/>
              <w:marTop w:val="0"/>
              <w:marBottom w:val="0"/>
              <w:divBdr>
                <w:top w:val="none" w:sz="0" w:space="0" w:color="auto"/>
                <w:left w:val="none" w:sz="0" w:space="0" w:color="auto"/>
                <w:bottom w:val="none" w:sz="0" w:space="0" w:color="auto"/>
                <w:right w:val="none" w:sz="0" w:space="0" w:color="auto"/>
              </w:divBdr>
            </w:div>
            <w:div w:id="1789738208">
              <w:marLeft w:val="0"/>
              <w:marRight w:val="0"/>
              <w:marTop w:val="0"/>
              <w:marBottom w:val="0"/>
              <w:divBdr>
                <w:top w:val="none" w:sz="0" w:space="0" w:color="auto"/>
                <w:left w:val="none" w:sz="0" w:space="0" w:color="auto"/>
                <w:bottom w:val="none" w:sz="0" w:space="0" w:color="auto"/>
                <w:right w:val="none" w:sz="0" w:space="0" w:color="auto"/>
              </w:divBdr>
            </w:div>
            <w:div w:id="167595309">
              <w:marLeft w:val="0"/>
              <w:marRight w:val="0"/>
              <w:marTop w:val="0"/>
              <w:marBottom w:val="0"/>
              <w:divBdr>
                <w:top w:val="none" w:sz="0" w:space="0" w:color="auto"/>
                <w:left w:val="none" w:sz="0" w:space="0" w:color="auto"/>
                <w:bottom w:val="none" w:sz="0" w:space="0" w:color="auto"/>
                <w:right w:val="none" w:sz="0" w:space="0" w:color="auto"/>
              </w:divBdr>
            </w:div>
            <w:div w:id="1715887882">
              <w:marLeft w:val="0"/>
              <w:marRight w:val="0"/>
              <w:marTop w:val="0"/>
              <w:marBottom w:val="0"/>
              <w:divBdr>
                <w:top w:val="none" w:sz="0" w:space="0" w:color="auto"/>
                <w:left w:val="none" w:sz="0" w:space="0" w:color="auto"/>
                <w:bottom w:val="none" w:sz="0" w:space="0" w:color="auto"/>
                <w:right w:val="none" w:sz="0" w:space="0" w:color="auto"/>
              </w:divBdr>
            </w:div>
            <w:div w:id="548881880">
              <w:marLeft w:val="0"/>
              <w:marRight w:val="0"/>
              <w:marTop w:val="0"/>
              <w:marBottom w:val="0"/>
              <w:divBdr>
                <w:top w:val="none" w:sz="0" w:space="0" w:color="auto"/>
                <w:left w:val="none" w:sz="0" w:space="0" w:color="auto"/>
                <w:bottom w:val="none" w:sz="0" w:space="0" w:color="auto"/>
                <w:right w:val="none" w:sz="0" w:space="0" w:color="auto"/>
              </w:divBdr>
            </w:div>
            <w:div w:id="499350159">
              <w:marLeft w:val="0"/>
              <w:marRight w:val="0"/>
              <w:marTop w:val="0"/>
              <w:marBottom w:val="0"/>
              <w:divBdr>
                <w:top w:val="none" w:sz="0" w:space="0" w:color="auto"/>
                <w:left w:val="none" w:sz="0" w:space="0" w:color="auto"/>
                <w:bottom w:val="none" w:sz="0" w:space="0" w:color="auto"/>
                <w:right w:val="none" w:sz="0" w:space="0" w:color="auto"/>
              </w:divBdr>
            </w:div>
            <w:div w:id="1784153626">
              <w:marLeft w:val="0"/>
              <w:marRight w:val="0"/>
              <w:marTop w:val="0"/>
              <w:marBottom w:val="0"/>
              <w:divBdr>
                <w:top w:val="none" w:sz="0" w:space="0" w:color="auto"/>
                <w:left w:val="none" w:sz="0" w:space="0" w:color="auto"/>
                <w:bottom w:val="none" w:sz="0" w:space="0" w:color="auto"/>
                <w:right w:val="none" w:sz="0" w:space="0" w:color="auto"/>
              </w:divBdr>
            </w:div>
            <w:div w:id="433015621">
              <w:marLeft w:val="0"/>
              <w:marRight w:val="0"/>
              <w:marTop w:val="0"/>
              <w:marBottom w:val="0"/>
              <w:divBdr>
                <w:top w:val="none" w:sz="0" w:space="0" w:color="auto"/>
                <w:left w:val="none" w:sz="0" w:space="0" w:color="auto"/>
                <w:bottom w:val="none" w:sz="0" w:space="0" w:color="auto"/>
                <w:right w:val="none" w:sz="0" w:space="0" w:color="auto"/>
              </w:divBdr>
            </w:div>
            <w:div w:id="900211921">
              <w:marLeft w:val="0"/>
              <w:marRight w:val="0"/>
              <w:marTop w:val="0"/>
              <w:marBottom w:val="0"/>
              <w:divBdr>
                <w:top w:val="none" w:sz="0" w:space="0" w:color="auto"/>
                <w:left w:val="none" w:sz="0" w:space="0" w:color="auto"/>
                <w:bottom w:val="none" w:sz="0" w:space="0" w:color="auto"/>
                <w:right w:val="none" w:sz="0" w:space="0" w:color="auto"/>
              </w:divBdr>
            </w:div>
            <w:div w:id="102306879">
              <w:marLeft w:val="0"/>
              <w:marRight w:val="0"/>
              <w:marTop w:val="0"/>
              <w:marBottom w:val="0"/>
              <w:divBdr>
                <w:top w:val="none" w:sz="0" w:space="0" w:color="auto"/>
                <w:left w:val="none" w:sz="0" w:space="0" w:color="auto"/>
                <w:bottom w:val="none" w:sz="0" w:space="0" w:color="auto"/>
                <w:right w:val="none" w:sz="0" w:space="0" w:color="auto"/>
              </w:divBdr>
            </w:div>
            <w:div w:id="963384559">
              <w:marLeft w:val="0"/>
              <w:marRight w:val="0"/>
              <w:marTop w:val="0"/>
              <w:marBottom w:val="0"/>
              <w:divBdr>
                <w:top w:val="none" w:sz="0" w:space="0" w:color="auto"/>
                <w:left w:val="none" w:sz="0" w:space="0" w:color="auto"/>
                <w:bottom w:val="none" w:sz="0" w:space="0" w:color="auto"/>
                <w:right w:val="none" w:sz="0" w:space="0" w:color="auto"/>
              </w:divBdr>
            </w:div>
            <w:div w:id="900288883">
              <w:marLeft w:val="0"/>
              <w:marRight w:val="0"/>
              <w:marTop w:val="0"/>
              <w:marBottom w:val="0"/>
              <w:divBdr>
                <w:top w:val="none" w:sz="0" w:space="0" w:color="auto"/>
                <w:left w:val="none" w:sz="0" w:space="0" w:color="auto"/>
                <w:bottom w:val="none" w:sz="0" w:space="0" w:color="auto"/>
                <w:right w:val="none" w:sz="0" w:space="0" w:color="auto"/>
              </w:divBdr>
            </w:div>
            <w:div w:id="1465460495">
              <w:marLeft w:val="0"/>
              <w:marRight w:val="0"/>
              <w:marTop w:val="0"/>
              <w:marBottom w:val="0"/>
              <w:divBdr>
                <w:top w:val="none" w:sz="0" w:space="0" w:color="auto"/>
                <w:left w:val="none" w:sz="0" w:space="0" w:color="auto"/>
                <w:bottom w:val="none" w:sz="0" w:space="0" w:color="auto"/>
                <w:right w:val="none" w:sz="0" w:space="0" w:color="auto"/>
              </w:divBdr>
            </w:div>
            <w:div w:id="85269903">
              <w:marLeft w:val="0"/>
              <w:marRight w:val="0"/>
              <w:marTop w:val="0"/>
              <w:marBottom w:val="0"/>
              <w:divBdr>
                <w:top w:val="none" w:sz="0" w:space="0" w:color="auto"/>
                <w:left w:val="none" w:sz="0" w:space="0" w:color="auto"/>
                <w:bottom w:val="none" w:sz="0" w:space="0" w:color="auto"/>
                <w:right w:val="none" w:sz="0" w:space="0" w:color="auto"/>
              </w:divBdr>
            </w:div>
            <w:div w:id="227957356">
              <w:marLeft w:val="0"/>
              <w:marRight w:val="0"/>
              <w:marTop w:val="0"/>
              <w:marBottom w:val="0"/>
              <w:divBdr>
                <w:top w:val="none" w:sz="0" w:space="0" w:color="auto"/>
                <w:left w:val="none" w:sz="0" w:space="0" w:color="auto"/>
                <w:bottom w:val="none" w:sz="0" w:space="0" w:color="auto"/>
                <w:right w:val="none" w:sz="0" w:space="0" w:color="auto"/>
              </w:divBdr>
            </w:div>
            <w:div w:id="148863327">
              <w:marLeft w:val="0"/>
              <w:marRight w:val="0"/>
              <w:marTop w:val="0"/>
              <w:marBottom w:val="0"/>
              <w:divBdr>
                <w:top w:val="none" w:sz="0" w:space="0" w:color="auto"/>
                <w:left w:val="none" w:sz="0" w:space="0" w:color="auto"/>
                <w:bottom w:val="none" w:sz="0" w:space="0" w:color="auto"/>
                <w:right w:val="none" w:sz="0" w:space="0" w:color="auto"/>
              </w:divBdr>
            </w:div>
            <w:div w:id="1652639750">
              <w:marLeft w:val="0"/>
              <w:marRight w:val="0"/>
              <w:marTop w:val="0"/>
              <w:marBottom w:val="0"/>
              <w:divBdr>
                <w:top w:val="none" w:sz="0" w:space="0" w:color="auto"/>
                <w:left w:val="none" w:sz="0" w:space="0" w:color="auto"/>
                <w:bottom w:val="none" w:sz="0" w:space="0" w:color="auto"/>
                <w:right w:val="none" w:sz="0" w:space="0" w:color="auto"/>
              </w:divBdr>
            </w:div>
            <w:div w:id="870462036">
              <w:marLeft w:val="0"/>
              <w:marRight w:val="0"/>
              <w:marTop w:val="0"/>
              <w:marBottom w:val="0"/>
              <w:divBdr>
                <w:top w:val="none" w:sz="0" w:space="0" w:color="auto"/>
                <w:left w:val="none" w:sz="0" w:space="0" w:color="auto"/>
                <w:bottom w:val="none" w:sz="0" w:space="0" w:color="auto"/>
                <w:right w:val="none" w:sz="0" w:space="0" w:color="auto"/>
              </w:divBdr>
            </w:div>
            <w:div w:id="1337460408">
              <w:marLeft w:val="0"/>
              <w:marRight w:val="0"/>
              <w:marTop w:val="0"/>
              <w:marBottom w:val="0"/>
              <w:divBdr>
                <w:top w:val="none" w:sz="0" w:space="0" w:color="auto"/>
                <w:left w:val="none" w:sz="0" w:space="0" w:color="auto"/>
                <w:bottom w:val="none" w:sz="0" w:space="0" w:color="auto"/>
                <w:right w:val="none" w:sz="0" w:space="0" w:color="auto"/>
              </w:divBdr>
            </w:div>
            <w:div w:id="1367874057">
              <w:marLeft w:val="0"/>
              <w:marRight w:val="0"/>
              <w:marTop w:val="0"/>
              <w:marBottom w:val="0"/>
              <w:divBdr>
                <w:top w:val="none" w:sz="0" w:space="0" w:color="auto"/>
                <w:left w:val="none" w:sz="0" w:space="0" w:color="auto"/>
                <w:bottom w:val="none" w:sz="0" w:space="0" w:color="auto"/>
                <w:right w:val="none" w:sz="0" w:space="0" w:color="auto"/>
              </w:divBdr>
            </w:div>
            <w:div w:id="1792438094">
              <w:marLeft w:val="0"/>
              <w:marRight w:val="0"/>
              <w:marTop w:val="0"/>
              <w:marBottom w:val="0"/>
              <w:divBdr>
                <w:top w:val="none" w:sz="0" w:space="0" w:color="auto"/>
                <w:left w:val="none" w:sz="0" w:space="0" w:color="auto"/>
                <w:bottom w:val="none" w:sz="0" w:space="0" w:color="auto"/>
                <w:right w:val="none" w:sz="0" w:space="0" w:color="auto"/>
              </w:divBdr>
            </w:div>
            <w:div w:id="1047025617">
              <w:marLeft w:val="0"/>
              <w:marRight w:val="0"/>
              <w:marTop w:val="0"/>
              <w:marBottom w:val="0"/>
              <w:divBdr>
                <w:top w:val="none" w:sz="0" w:space="0" w:color="auto"/>
                <w:left w:val="none" w:sz="0" w:space="0" w:color="auto"/>
                <w:bottom w:val="none" w:sz="0" w:space="0" w:color="auto"/>
                <w:right w:val="none" w:sz="0" w:space="0" w:color="auto"/>
              </w:divBdr>
            </w:div>
            <w:div w:id="227497824">
              <w:marLeft w:val="0"/>
              <w:marRight w:val="0"/>
              <w:marTop w:val="0"/>
              <w:marBottom w:val="0"/>
              <w:divBdr>
                <w:top w:val="none" w:sz="0" w:space="0" w:color="auto"/>
                <w:left w:val="none" w:sz="0" w:space="0" w:color="auto"/>
                <w:bottom w:val="none" w:sz="0" w:space="0" w:color="auto"/>
                <w:right w:val="none" w:sz="0" w:space="0" w:color="auto"/>
              </w:divBdr>
            </w:div>
            <w:div w:id="629822228">
              <w:marLeft w:val="0"/>
              <w:marRight w:val="0"/>
              <w:marTop w:val="0"/>
              <w:marBottom w:val="0"/>
              <w:divBdr>
                <w:top w:val="none" w:sz="0" w:space="0" w:color="auto"/>
                <w:left w:val="none" w:sz="0" w:space="0" w:color="auto"/>
                <w:bottom w:val="none" w:sz="0" w:space="0" w:color="auto"/>
                <w:right w:val="none" w:sz="0" w:space="0" w:color="auto"/>
              </w:divBdr>
            </w:div>
            <w:div w:id="1178807106">
              <w:marLeft w:val="0"/>
              <w:marRight w:val="0"/>
              <w:marTop w:val="0"/>
              <w:marBottom w:val="0"/>
              <w:divBdr>
                <w:top w:val="none" w:sz="0" w:space="0" w:color="auto"/>
                <w:left w:val="none" w:sz="0" w:space="0" w:color="auto"/>
                <w:bottom w:val="none" w:sz="0" w:space="0" w:color="auto"/>
                <w:right w:val="none" w:sz="0" w:space="0" w:color="auto"/>
              </w:divBdr>
            </w:div>
            <w:div w:id="1651404036">
              <w:marLeft w:val="0"/>
              <w:marRight w:val="0"/>
              <w:marTop w:val="0"/>
              <w:marBottom w:val="0"/>
              <w:divBdr>
                <w:top w:val="none" w:sz="0" w:space="0" w:color="auto"/>
                <w:left w:val="none" w:sz="0" w:space="0" w:color="auto"/>
                <w:bottom w:val="none" w:sz="0" w:space="0" w:color="auto"/>
                <w:right w:val="none" w:sz="0" w:space="0" w:color="auto"/>
              </w:divBdr>
              <w:divsChild>
                <w:div w:id="538512115">
                  <w:marLeft w:val="0"/>
                  <w:marRight w:val="0"/>
                  <w:marTop w:val="0"/>
                  <w:marBottom w:val="0"/>
                  <w:divBdr>
                    <w:top w:val="single" w:sz="12" w:space="0" w:color="000000"/>
                    <w:left w:val="single" w:sz="12" w:space="0" w:color="000000"/>
                    <w:bottom w:val="single" w:sz="12" w:space="0" w:color="000000"/>
                    <w:right w:val="single" w:sz="12" w:space="0" w:color="000000"/>
                  </w:divBdr>
                </w:div>
                <w:div w:id="308289714">
                  <w:marLeft w:val="0"/>
                  <w:marRight w:val="0"/>
                  <w:marTop w:val="0"/>
                  <w:marBottom w:val="0"/>
                  <w:divBdr>
                    <w:top w:val="none" w:sz="0" w:space="0" w:color="auto"/>
                    <w:left w:val="none" w:sz="0" w:space="0" w:color="auto"/>
                    <w:bottom w:val="none" w:sz="0" w:space="0" w:color="auto"/>
                    <w:right w:val="none" w:sz="0" w:space="0" w:color="auto"/>
                  </w:divBdr>
                </w:div>
              </w:divsChild>
            </w:div>
            <w:div w:id="1338775944">
              <w:marLeft w:val="0"/>
              <w:marRight w:val="0"/>
              <w:marTop w:val="0"/>
              <w:marBottom w:val="0"/>
              <w:divBdr>
                <w:top w:val="none" w:sz="0" w:space="0" w:color="auto"/>
                <w:left w:val="none" w:sz="0" w:space="0" w:color="auto"/>
                <w:bottom w:val="none" w:sz="0" w:space="0" w:color="auto"/>
                <w:right w:val="none" w:sz="0" w:space="0" w:color="auto"/>
              </w:divBdr>
            </w:div>
            <w:div w:id="840581612">
              <w:marLeft w:val="0"/>
              <w:marRight w:val="0"/>
              <w:marTop w:val="0"/>
              <w:marBottom w:val="0"/>
              <w:divBdr>
                <w:top w:val="none" w:sz="0" w:space="0" w:color="auto"/>
                <w:left w:val="none" w:sz="0" w:space="0" w:color="auto"/>
                <w:bottom w:val="none" w:sz="0" w:space="0" w:color="auto"/>
                <w:right w:val="none" w:sz="0" w:space="0" w:color="auto"/>
              </w:divBdr>
              <w:divsChild>
                <w:div w:id="2117285609">
                  <w:marLeft w:val="0"/>
                  <w:marRight w:val="0"/>
                  <w:marTop w:val="0"/>
                  <w:marBottom w:val="0"/>
                  <w:divBdr>
                    <w:top w:val="single" w:sz="12" w:space="0" w:color="000000"/>
                    <w:left w:val="single" w:sz="12" w:space="0" w:color="000000"/>
                    <w:bottom w:val="single" w:sz="12" w:space="0" w:color="000000"/>
                    <w:right w:val="single" w:sz="12" w:space="0" w:color="000000"/>
                  </w:divBdr>
                </w:div>
                <w:div w:id="389888512">
                  <w:marLeft w:val="0"/>
                  <w:marRight w:val="0"/>
                  <w:marTop w:val="0"/>
                  <w:marBottom w:val="0"/>
                  <w:divBdr>
                    <w:top w:val="none" w:sz="0" w:space="0" w:color="auto"/>
                    <w:left w:val="none" w:sz="0" w:space="0" w:color="auto"/>
                    <w:bottom w:val="none" w:sz="0" w:space="0" w:color="auto"/>
                    <w:right w:val="none" w:sz="0" w:space="0" w:color="auto"/>
                  </w:divBdr>
                </w:div>
              </w:divsChild>
            </w:div>
            <w:div w:id="588806146">
              <w:marLeft w:val="0"/>
              <w:marRight w:val="0"/>
              <w:marTop w:val="0"/>
              <w:marBottom w:val="0"/>
              <w:divBdr>
                <w:top w:val="none" w:sz="0" w:space="0" w:color="auto"/>
                <w:left w:val="none" w:sz="0" w:space="0" w:color="auto"/>
                <w:bottom w:val="none" w:sz="0" w:space="0" w:color="auto"/>
                <w:right w:val="none" w:sz="0" w:space="0" w:color="auto"/>
              </w:divBdr>
            </w:div>
            <w:div w:id="21319570">
              <w:marLeft w:val="0"/>
              <w:marRight w:val="0"/>
              <w:marTop w:val="0"/>
              <w:marBottom w:val="0"/>
              <w:divBdr>
                <w:top w:val="none" w:sz="0" w:space="0" w:color="auto"/>
                <w:left w:val="none" w:sz="0" w:space="0" w:color="auto"/>
                <w:bottom w:val="none" w:sz="0" w:space="0" w:color="auto"/>
                <w:right w:val="none" w:sz="0" w:space="0" w:color="auto"/>
              </w:divBdr>
              <w:divsChild>
                <w:div w:id="511842151">
                  <w:marLeft w:val="0"/>
                  <w:marRight w:val="0"/>
                  <w:marTop w:val="0"/>
                  <w:marBottom w:val="0"/>
                  <w:divBdr>
                    <w:top w:val="single" w:sz="12" w:space="0" w:color="000000"/>
                    <w:left w:val="single" w:sz="12" w:space="0" w:color="000000"/>
                    <w:bottom w:val="single" w:sz="12" w:space="0" w:color="000000"/>
                    <w:right w:val="single" w:sz="12" w:space="0" w:color="000000"/>
                  </w:divBdr>
                </w:div>
                <w:div w:id="1694375651">
                  <w:marLeft w:val="0"/>
                  <w:marRight w:val="0"/>
                  <w:marTop w:val="0"/>
                  <w:marBottom w:val="0"/>
                  <w:divBdr>
                    <w:top w:val="none" w:sz="0" w:space="0" w:color="auto"/>
                    <w:left w:val="none" w:sz="0" w:space="0" w:color="auto"/>
                    <w:bottom w:val="none" w:sz="0" w:space="0" w:color="auto"/>
                    <w:right w:val="none" w:sz="0" w:space="0" w:color="auto"/>
                  </w:divBdr>
                </w:div>
              </w:divsChild>
            </w:div>
            <w:div w:id="548304479">
              <w:marLeft w:val="0"/>
              <w:marRight w:val="0"/>
              <w:marTop w:val="0"/>
              <w:marBottom w:val="0"/>
              <w:divBdr>
                <w:top w:val="none" w:sz="0" w:space="0" w:color="auto"/>
                <w:left w:val="none" w:sz="0" w:space="0" w:color="auto"/>
                <w:bottom w:val="none" w:sz="0" w:space="0" w:color="auto"/>
                <w:right w:val="none" w:sz="0" w:space="0" w:color="auto"/>
              </w:divBdr>
            </w:div>
            <w:div w:id="756706527">
              <w:marLeft w:val="0"/>
              <w:marRight w:val="0"/>
              <w:marTop w:val="0"/>
              <w:marBottom w:val="0"/>
              <w:divBdr>
                <w:top w:val="none" w:sz="0" w:space="0" w:color="auto"/>
                <w:left w:val="none" w:sz="0" w:space="0" w:color="auto"/>
                <w:bottom w:val="none" w:sz="0" w:space="0" w:color="auto"/>
                <w:right w:val="none" w:sz="0" w:space="0" w:color="auto"/>
              </w:divBdr>
              <w:divsChild>
                <w:div w:id="1332836530">
                  <w:marLeft w:val="0"/>
                  <w:marRight w:val="0"/>
                  <w:marTop w:val="0"/>
                  <w:marBottom w:val="0"/>
                  <w:divBdr>
                    <w:top w:val="single" w:sz="12" w:space="0" w:color="000000"/>
                    <w:left w:val="single" w:sz="12" w:space="0" w:color="000000"/>
                    <w:bottom w:val="single" w:sz="12" w:space="0" w:color="000000"/>
                    <w:right w:val="single" w:sz="12" w:space="0" w:color="000000"/>
                  </w:divBdr>
                </w:div>
                <w:div w:id="1581984285">
                  <w:marLeft w:val="0"/>
                  <w:marRight w:val="0"/>
                  <w:marTop w:val="0"/>
                  <w:marBottom w:val="0"/>
                  <w:divBdr>
                    <w:top w:val="none" w:sz="0" w:space="0" w:color="auto"/>
                    <w:left w:val="none" w:sz="0" w:space="0" w:color="auto"/>
                    <w:bottom w:val="none" w:sz="0" w:space="0" w:color="auto"/>
                    <w:right w:val="none" w:sz="0" w:space="0" w:color="auto"/>
                  </w:divBdr>
                </w:div>
              </w:divsChild>
            </w:div>
            <w:div w:id="1255015297">
              <w:marLeft w:val="0"/>
              <w:marRight w:val="0"/>
              <w:marTop w:val="0"/>
              <w:marBottom w:val="0"/>
              <w:divBdr>
                <w:top w:val="none" w:sz="0" w:space="0" w:color="auto"/>
                <w:left w:val="none" w:sz="0" w:space="0" w:color="auto"/>
                <w:bottom w:val="none" w:sz="0" w:space="0" w:color="auto"/>
                <w:right w:val="none" w:sz="0" w:space="0" w:color="auto"/>
              </w:divBdr>
            </w:div>
            <w:div w:id="474108297">
              <w:marLeft w:val="0"/>
              <w:marRight w:val="0"/>
              <w:marTop w:val="0"/>
              <w:marBottom w:val="0"/>
              <w:divBdr>
                <w:top w:val="none" w:sz="0" w:space="0" w:color="auto"/>
                <w:left w:val="none" w:sz="0" w:space="0" w:color="auto"/>
                <w:bottom w:val="none" w:sz="0" w:space="0" w:color="auto"/>
                <w:right w:val="none" w:sz="0" w:space="0" w:color="auto"/>
              </w:divBdr>
              <w:divsChild>
                <w:div w:id="1895308708">
                  <w:marLeft w:val="0"/>
                  <w:marRight w:val="0"/>
                  <w:marTop w:val="0"/>
                  <w:marBottom w:val="0"/>
                  <w:divBdr>
                    <w:top w:val="single" w:sz="12" w:space="0" w:color="000000"/>
                    <w:left w:val="single" w:sz="12" w:space="0" w:color="000000"/>
                    <w:bottom w:val="single" w:sz="12" w:space="0" w:color="000000"/>
                    <w:right w:val="single" w:sz="12" w:space="0" w:color="000000"/>
                  </w:divBdr>
                </w:div>
                <w:div w:id="648562020">
                  <w:marLeft w:val="0"/>
                  <w:marRight w:val="0"/>
                  <w:marTop w:val="0"/>
                  <w:marBottom w:val="0"/>
                  <w:divBdr>
                    <w:top w:val="none" w:sz="0" w:space="0" w:color="auto"/>
                    <w:left w:val="none" w:sz="0" w:space="0" w:color="auto"/>
                    <w:bottom w:val="none" w:sz="0" w:space="0" w:color="auto"/>
                    <w:right w:val="none" w:sz="0" w:space="0" w:color="auto"/>
                  </w:divBdr>
                </w:div>
              </w:divsChild>
            </w:div>
            <w:div w:id="357971809">
              <w:marLeft w:val="0"/>
              <w:marRight w:val="0"/>
              <w:marTop w:val="0"/>
              <w:marBottom w:val="0"/>
              <w:divBdr>
                <w:top w:val="none" w:sz="0" w:space="0" w:color="auto"/>
                <w:left w:val="none" w:sz="0" w:space="0" w:color="auto"/>
                <w:bottom w:val="none" w:sz="0" w:space="0" w:color="auto"/>
                <w:right w:val="none" w:sz="0" w:space="0" w:color="auto"/>
              </w:divBdr>
            </w:div>
          </w:divsChild>
        </w:div>
        <w:div w:id="734741639">
          <w:marLeft w:val="0"/>
          <w:marRight w:val="0"/>
          <w:marTop w:val="30"/>
          <w:marBottom w:val="75"/>
          <w:divBdr>
            <w:top w:val="single" w:sz="6" w:space="0" w:color="FFFFFF"/>
            <w:left w:val="single" w:sz="6" w:space="0" w:color="FFFFFF"/>
            <w:bottom w:val="single" w:sz="6" w:space="0" w:color="FFFFFF"/>
            <w:right w:val="single" w:sz="6" w:space="0" w:color="FFFFFF"/>
          </w:divBdr>
          <w:divsChild>
            <w:div w:id="2061829416">
              <w:marLeft w:val="0"/>
              <w:marRight w:val="0"/>
              <w:marTop w:val="0"/>
              <w:marBottom w:val="0"/>
              <w:divBdr>
                <w:top w:val="single" w:sz="6" w:space="0" w:color="FFFFFF"/>
                <w:left w:val="single" w:sz="6" w:space="8" w:color="FFFFFF"/>
                <w:bottom w:val="single" w:sz="6" w:space="0" w:color="FFFFFF"/>
                <w:right w:val="single" w:sz="6" w:space="0" w:color="FFFFFF"/>
              </w:divBdr>
            </w:div>
            <w:div w:id="1220896493">
              <w:marLeft w:val="0"/>
              <w:marRight w:val="0"/>
              <w:marTop w:val="0"/>
              <w:marBottom w:val="0"/>
              <w:divBdr>
                <w:top w:val="single" w:sz="6" w:space="0" w:color="FFFFFF"/>
                <w:left w:val="single" w:sz="6" w:space="0" w:color="FFFFFF"/>
                <w:bottom w:val="single" w:sz="6" w:space="0" w:color="FFFFFF"/>
                <w:right w:val="single" w:sz="6" w:space="8" w:color="FFFFFF"/>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ecfr.gov/cgi-bin/text-idx?SID=b88ca2f4788926cd30f68d3de5a3fbec&amp;node=40:7.0.1.1.1.90&amp;rgn=div6" TargetMode="External"/><Relationship Id="rId21" Type="http://schemas.openxmlformats.org/officeDocument/2006/relationships/hyperlink" Target="http://www.ecfr.gov/cgi-bin/text-idx?SID=b88ca2f4788926cd30f68d3de5a3fbec&amp;node=40:7.0.1.1.1.90&amp;rgn=div6" TargetMode="External"/><Relationship Id="rId42" Type="http://schemas.openxmlformats.org/officeDocument/2006/relationships/hyperlink" Target="http://www.ecfr.gov/cgi-bin/text-idx?SID=b88ca2f4788926cd30f68d3de5a3fbec&amp;node=40:7.0.1.1.1.90&amp;rgn=div6" TargetMode="External"/><Relationship Id="rId63" Type="http://schemas.openxmlformats.org/officeDocument/2006/relationships/hyperlink" Target="http://www.ecfr.gov/cgi-bin/text-idx?SID=b88ca2f4788926cd30f68d3de5a3fbec&amp;node=40:7.0.1.1.1.90&amp;rgn=div6" TargetMode="External"/><Relationship Id="rId84" Type="http://schemas.openxmlformats.org/officeDocument/2006/relationships/hyperlink" Target="http://www.ecfr.gov/cgi-bin/text-idx?SID=b88ca2f4788926cd30f68d3de5a3fbec&amp;node=40:7.0.1.1.1.90&amp;rgn=div6" TargetMode="External"/><Relationship Id="rId138" Type="http://schemas.openxmlformats.org/officeDocument/2006/relationships/hyperlink" Target="http://www.ecfr.gov/cgi-bin/text-idx?SID=b88ca2f4788926cd30f68d3de5a3fbec&amp;node=40:7.0.1.1.1.90&amp;rgn=div6" TargetMode="External"/><Relationship Id="rId159" Type="http://schemas.openxmlformats.org/officeDocument/2006/relationships/hyperlink" Target="http://www.ecfr.gov/cgi-bin/text-idx?SID=b88ca2f4788926cd30f68d3de5a3fbec&amp;node=40:7.0.1.1.1.90&amp;rgn=div6" TargetMode="External"/><Relationship Id="rId170" Type="http://schemas.openxmlformats.org/officeDocument/2006/relationships/hyperlink" Target="http://www.ecfr.gov/cgi-bin/text-idx?SID=b88ca2f4788926cd30f68d3de5a3fbec&amp;node=40:7.0.1.1.1.90&amp;rgn=div6" TargetMode="External"/><Relationship Id="rId191" Type="http://schemas.openxmlformats.org/officeDocument/2006/relationships/hyperlink" Target="http://www.ecfr.gov/cgi-bin/text-idx?SID=b88ca2f4788926cd30f68d3de5a3fbec&amp;node=40:7.0.1.1.1.90&amp;rgn=div6" TargetMode="External"/><Relationship Id="rId205" Type="http://schemas.openxmlformats.org/officeDocument/2006/relationships/hyperlink" Target="http://www.ecfr.gov/cgi-bin/text-idx?SID=b88ca2f4788926cd30f68d3de5a3fbec&amp;node=40:7.0.1.1.1.90&amp;rgn=div6" TargetMode="External"/><Relationship Id="rId226" Type="http://schemas.openxmlformats.org/officeDocument/2006/relationships/hyperlink" Target="http://www.ecfr.gov/cgi-bin/text-idx?SID=b88ca2f4788926cd30f68d3de5a3fbec&amp;node=40:7.0.1.1.1.90&amp;rgn=div6" TargetMode="External"/><Relationship Id="rId247" Type="http://schemas.openxmlformats.org/officeDocument/2006/relationships/theme" Target="theme/theme1.xml"/><Relationship Id="rId107" Type="http://schemas.openxmlformats.org/officeDocument/2006/relationships/hyperlink" Target="http://www.ecfr.gov/cgi-bin/text-idx?SID=b88ca2f4788926cd30f68d3de5a3fbec&amp;node=40:7.0.1.1.1.90&amp;rgn=div6" TargetMode="External"/><Relationship Id="rId11" Type="http://schemas.openxmlformats.org/officeDocument/2006/relationships/hyperlink" Target="http://www.ecfr.gov/cgi-bin/text-idx?SID=b88ca2f4788926cd30f68d3de5a3fbec&amp;node=40:7.0.1.1.1.90&amp;rgn=div6" TargetMode="External"/><Relationship Id="rId32" Type="http://schemas.openxmlformats.org/officeDocument/2006/relationships/hyperlink" Target="http://www.ecfr.gov/cgi-bin/text-idx?SID=b88ca2f4788926cd30f68d3de5a3fbec&amp;node=40:7.0.1.1.1.90&amp;rgn=div6" TargetMode="External"/><Relationship Id="rId53" Type="http://schemas.openxmlformats.org/officeDocument/2006/relationships/hyperlink" Target="http://www.ecfr.gov/cgi-bin/text-idx?SID=b88ca2f4788926cd30f68d3de5a3fbec&amp;node=40:7.0.1.1.1.90&amp;rgn=div6" TargetMode="External"/><Relationship Id="rId74" Type="http://schemas.openxmlformats.org/officeDocument/2006/relationships/hyperlink" Target="http://www.ecfr.gov/cgi-bin/text-idx?SID=b88ca2f4788926cd30f68d3de5a3fbec&amp;node=40:7.0.1.1.1.90&amp;rgn=div6" TargetMode="External"/><Relationship Id="rId128" Type="http://schemas.openxmlformats.org/officeDocument/2006/relationships/hyperlink" Target="http://www.ecfr.gov/cgi-bin/text-idx?SID=b88ca2f4788926cd30f68d3de5a3fbec&amp;node=40:7.0.1.1.1.90&amp;rgn=div6" TargetMode="External"/><Relationship Id="rId149" Type="http://schemas.openxmlformats.org/officeDocument/2006/relationships/hyperlink" Target="http://www.ecfr.gov/cgi-bin/text-idx?SID=b88ca2f4788926cd30f68d3de5a3fbec&amp;node=40:7.0.1.1.1.90&amp;rgn=div6" TargetMode="External"/><Relationship Id="rId5" Type="http://schemas.openxmlformats.org/officeDocument/2006/relationships/hyperlink" Target="http://www.ecfr.gov/cgi-bin/text-idx?SID=b88ca2f4788926cd30f68d3de5a3fbec&amp;node=40:7.0.1.1.1.90&amp;rgn=div6" TargetMode="External"/><Relationship Id="rId95" Type="http://schemas.openxmlformats.org/officeDocument/2006/relationships/hyperlink" Target="http://www.ecfr.gov/cgi-bin/text-idx?SID=b88ca2f4788926cd30f68d3de5a3fbec&amp;node=40:7.0.1.1.1.90&amp;rgn=div6" TargetMode="External"/><Relationship Id="rId160" Type="http://schemas.openxmlformats.org/officeDocument/2006/relationships/hyperlink" Target="http://www.ecfr.gov/cgi-bin/text-idx?SID=b88ca2f4788926cd30f68d3de5a3fbec&amp;node=40:7.0.1.1.1.90&amp;rgn=div6" TargetMode="External"/><Relationship Id="rId181" Type="http://schemas.openxmlformats.org/officeDocument/2006/relationships/hyperlink" Target="http://www.ecfr.gov/cgi-bin/text-idx?SID=b88ca2f4788926cd30f68d3de5a3fbec&amp;node=40:7.0.1.1.1.90&amp;rgn=div6" TargetMode="External"/><Relationship Id="rId216" Type="http://schemas.openxmlformats.org/officeDocument/2006/relationships/hyperlink" Target="http://www.ecfr.gov/cgi-bin/text-idx?SID=b88ca2f4788926cd30f68d3de5a3fbec&amp;node=40:7.0.1.1.1.90&amp;rgn=div6" TargetMode="External"/><Relationship Id="rId237" Type="http://schemas.openxmlformats.org/officeDocument/2006/relationships/hyperlink" Target="http://www.ecfr.gov/cgi-bin/text-idx?SID=b88ca2f4788926cd30f68d3de5a3fbec&amp;node=40:7.0.1.1.1.90&amp;rgn=div6" TargetMode="External"/><Relationship Id="rId22" Type="http://schemas.openxmlformats.org/officeDocument/2006/relationships/hyperlink" Target="http://www.ecfr.gov/cgi-bin/text-idx?SID=b88ca2f4788926cd30f68d3de5a3fbec&amp;node=40:7.0.1.1.1.90&amp;rgn=div6" TargetMode="External"/><Relationship Id="rId43" Type="http://schemas.openxmlformats.org/officeDocument/2006/relationships/hyperlink" Target="http://www.ecfr.gov/cgi-bin/text-idx?SID=b88ca2f4788926cd30f68d3de5a3fbec&amp;node=40:7.0.1.1.1.90&amp;rgn=div6" TargetMode="External"/><Relationship Id="rId64" Type="http://schemas.openxmlformats.org/officeDocument/2006/relationships/hyperlink" Target="http://www.ecfr.gov/cgi-bin/text-idx?SID=b88ca2f4788926cd30f68d3de5a3fbec&amp;node=40:7.0.1.1.1.90&amp;rgn=div6" TargetMode="External"/><Relationship Id="rId118" Type="http://schemas.openxmlformats.org/officeDocument/2006/relationships/hyperlink" Target="http://www.ecfr.gov/cgi-bin/text-idx?SID=b88ca2f4788926cd30f68d3de5a3fbec&amp;node=40:7.0.1.1.1.90&amp;rgn=div6" TargetMode="External"/><Relationship Id="rId139" Type="http://schemas.openxmlformats.org/officeDocument/2006/relationships/hyperlink" Target="http://www.ecfr.gov/cgi-bin/text-idx?SID=b88ca2f4788926cd30f68d3de5a3fbec&amp;node=40:7.0.1.1.1.90&amp;rgn=div6" TargetMode="External"/><Relationship Id="rId85" Type="http://schemas.openxmlformats.org/officeDocument/2006/relationships/hyperlink" Target="http://www.ecfr.gov/cgi-bin/text-idx?SID=b88ca2f4788926cd30f68d3de5a3fbec&amp;node=40:7.0.1.1.1.90&amp;rgn=div6" TargetMode="External"/><Relationship Id="rId150" Type="http://schemas.openxmlformats.org/officeDocument/2006/relationships/hyperlink" Target="http://www.ecfr.gov/cgi-bin/text-idx?SID=b88ca2f4788926cd30f68d3de5a3fbec&amp;node=40:7.0.1.1.1.90&amp;rgn=div6" TargetMode="External"/><Relationship Id="rId171" Type="http://schemas.openxmlformats.org/officeDocument/2006/relationships/hyperlink" Target="http://www.ecfr.gov/cgi-bin/text-idx?SID=b88ca2f4788926cd30f68d3de5a3fbec&amp;node=40:7.0.1.1.1.90&amp;rgn=div6" TargetMode="External"/><Relationship Id="rId192" Type="http://schemas.openxmlformats.org/officeDocument/2006/relationships/hyperlink" Target="http://www.ecfr.gov/cgi-bin/text-idx?SID=b88ca2f4788926cd30f68d3de5a3fbec&amp;node=40:7.0.1.1.1.90&amp;rgn=div6" TargetMode="External"/><Relationship Id="rId206" Type="http://schemas.openxmlformats.org/officeDocument/2006/relationships/hyperlink" Target="http://www.ecfr.gov/cgi-bin/text-idx?SID=b88ca2f4788926cd30f68d3de5a3fbec&amp;node=40:7.0.1.1.1.90&amp;rgn=div6" TargetMode="External"/><Relationship Id="rId227" Type="http://schemas.openxmlformats.org/officeDocument/2006/relationships/hyperlink" Target="http://www.ecfr.gov/cgi-bin/text-idx?SID=b88ca2f4788926cd30f68d3de5a3fbec&amp;node=40:7.0.1.1.1.90&amp;rgn=div6" TargetMode="External"/><Relationship Id="rId12" Type="http://schemas.openxmlformats.org/officeDocument/2006/relationships/hyperlink" Target="http://www.ecfr.gov/cgi-bin/text-idx?SID=b88ca2f4788926cd30f68d3de5a3fbec&amp;node=40:7.0.1.1.1.90&amp;rgn=div6" TargetMode="External"/><Relationship Id="rId17" Type="http://schemas.openxmlformats.org/officeDocument/2006/relationships/hyperlink" Target="http://www.ecfr.gov/cgi-bin/text-idx?SID=b88ca2f4788926cd30f68d3de5a3fbec&amp;node=40:7.0.1.1.1.90&amp;rgn=div6" TargetMode="External"/><Relationship Id="rId33" Type="http://schemas.openxmlformats.org/officeDocument/2006/relationships/hyperlink" Target="http://www.ecfr.gov/cgi-bin/text-idx?SID=b88ca2f4788926cd30f68d3de5a3fbec&amp;node=40:7.0.1.1.1.90&amp;rgn=div6" TargetMode="External"/><Relationship Id="rId38" Type="http://schemas.openxmlformats.org/officeDocument/2006/relationships/hyperlink" Target="http://www.ecfr.gov/cgi-bin/text-idx?SID=b88ca2f4788926cd30f68d3de5a3fbec&amp;node=40:7.0.1.1.1.90&amp;rgn=div6" TargetMode="External"/><Relationship Id="rId59" Type="http://schemas.openxmlformats.org/officeDocument/2006/relationships/hyperlink" Target="http://www.ecfr.gov/cgi-bin/text-idx?SID=b88ca2f4788926cd30f68d3de5a3fbec&amp;node=40:7.0.1.1.1.90&amp;rgn=div6" TargetMode="External"/><Relationship Id="rId103" Type="http://schemas.openxmlformats.org/officeDocument/2006/relationships/hyperlink" Target="http://www.ecfr.gov/cgi-bin/text-idx?SID=b88ca2f4788926cd30f68d3de5a3fbec&amp;node=40:7.0.1.1.1.90&amp;rgn=div6" TargetMode="External"/><Relationship Id="rId108" Type="http://schemas.openxmlformats.org/officeDocument/2006/relationships/hyperlink" Target="http://www.ecfr.gov/cgi-bin/text-idx?SID=b88ca2f4788926cd30f68d3de5a3fbec&amp;node=40:7.0.1.1.1.90&amp;rgn=div6" TargetMode="External"/><Relationship Id="rId124" Type="http://schemas.openxmlformats.org/officeDocument/2006/relationships/hyperlink" Target="http://www.ecfr.gov/cgi-bin/text-idx?SID=b88ca2f4788926cd30f68d3de5a3fbec&amp;node=40:7.0.1.1.1.90&amp;rgn=div6" TargetMode="External"/><Relationship Id="rId129" Type="http://schemas.openxmlformats.org/officeDocument/2006/relationships/hyperlink" Target="http://www.ecfr.gov/cgi-bin/text-idx?SID=b88ca2f4788926cd30f68d3de5a3fbec&amp;node=40:7.0.1.1.1.90&amp;rgn=div6" TargetMode="External"/><Relationship Id="rId54" Type="http://schemas.openxmlformats.org/officeDocument/2006/relationships/hyperlink" Target="http://www.ecfr.gov/cgi-bin/text-idx?SID=b88ca2f4788926cd30f68d3de5a3fbec&amp;node=40:7.0.1.1.1.90&amp;rgn=div6" TargetMode="External"/><Relationship Id="rId70" Type="http://schemas.openxmlformats.org/officeDocument/2006/relationships/hyperlink" Target="http://www.ecfr.gov/cgi-bin/text-idx?SID=b88ca2f4788926cd30f68d3de5a3fbec&amp;node=40:7.0.1.1.1.90&amp;rgn=div6" TargetMode="External"/><Relationship Id="rId75" Type="http://schemas.openxmlformats.org/officeDocument/2006/relationships/hyperlink" Target="http://www.ecfr.gov/cgi-bin/text-idx?SID=b88ca2f4788926cd30f68d3de5a3fbec&amp;node=40:7.0.1.1.1.90&amp;rgn=div6" TargetMode="External"/><Relationship Id="rId91" Type="http://schemas.openxmlformats.org/officeDocument/2006/relationships/hyperlink" Target="http://www.ecfr.gov/cgi-bin/text-idx?SID=b88ca2f4788926cd30f68d3de5a3fbec&amp;node=40:7.0.1.1.1.90&amp;rgn=div6" TargetMode="External"/><Relationship Id="rId96" Type="http://schemas.openxmlformats.org/officeDocument/2006/relationships/hyperlink" Target="http://www.ecfr.gov/cgi-bin/text-idx?SID=b88ca2f4788926cd30f68d3de5a3fbec&amp;node=40:7.0.1.1.1.90&amp;rgn=div6" TargetMode="External"/><Relationship Id="rId140" Type="http://schemas.openxmlformats.org/officeDocument/2006/relationships/hyperlink" Target="http://www.ecfr.gov/cgi-bin/text-idx?SID=b88ca2f4788926cd30f68d3de5a3fbec&amp;node=40:7.0.1.1.1.90&amp;rgn=div6" TargetMode="External"/><Relationship Id="rId145" Type="http://schemas.openxmlformats.org/officeDocument/2006/relationships/hyperlink" Target="http://www.ecfr.gov/cgi-bin/text-idx?SID=b88ca2f4788926cd30f68d3de5a3fbec&amp;node=40:7.0.1.1.1.90&amp;rgn=div6" TargetMode="External"/><Relationship Id="rId161" Type="http://schemas.openxmlformats.org/officeDocument/2006/relationships/hyperlink" Target="http://www.ecfr.gov/cgi-bin/text-idx?SID=b88ca2f4788926cd30f68d3de5a3fbec&amp;node=40:7.0.1.1.1.90&amp;rgn=div6" TargetMode="External"/><Relationship Id="rId166" Type="http://schemas.openxmlformats.org/officeDocument/2006/relationships/hyperlink" Target="http://www.ecfr.gov/cgi-bin/text-idx?SID=b88ca2f4788926cd30f68d3de5a3fbec&amp;node=40:7.0.1.1.1.90&amp;rgn=div6" TargetMode="External"/><Relationship Id="rId182" Type="http://schemas.openxmlformats.org/officeDocument/2006/relationships/hyperlink" Target="http://www.ecfr.gov/cgi-bin/text-idx?SID=b88ca2f4788926cd30f68d3de5a3fbec&amp;node=40:7.0.1.1.1.90&amp;rgn=div6" TargetMode="External"/><Relationship Id="rId187" Type="http://schemas.openxmlformats.org/officeDocument/2006/relationships/hyperlink" Target="http://www.ecfr.gov/cgi-bin/text-idx?SID=b88ca2f4788926cd30f68d3de5a3fbec&amp;node=40:7.0.1.1.1.90&amp;rgn=div6" TargetMode="External"/><Relationship Id="rId217" Type="http://schemas.openxmlformats.org/officeDocument/2006/relationships/hyperlink" Target="http://www.ecfr.gov/cgi-bin/text-idx?SID=b88ca2f4788926cd30f68d3de5a3fbec&amp;node=40:7.0.1.1.1.90&amp;rgn=div6" TargetMode="External"/><Relationship Id="rId1" Type="http://schemas.openxmlformats.org/officeDocument/2006/relationships/styles" Target="styles.xml"/><Relationship Id="rId6" Type="http://schemas.openxmlformats.org/officeDocument/2006/relationships/hyperlink" Target="http://www.ecfr.gov/cgi-bin/text-idx?SID=b88ca2f4788926cd30f68d3de5a3fbec&amp;node=40:7.0.1.1.1.90&amp;rgn=div6" TargetMode="External"/><Relationship Id="rId212" Type="http://schemas.openxmlformats.org/officeDocument/2006/relationships/hyperlink" Target="http://www.ecfr.gov/cgi-bin/text-idx?SID=b88ca2f4788926cd30f68d3de5a3fbec&amp;node=40:7.0.1.1.1.90&amp;rgn=div6" TargetMode="External"/><Relationship Id="rId233" Type="http://schemas.openxmlformats.org/officeDocument/2006/relationships/hyperlink" Target="http://www.ecfr.gov/cgi-bin/text-idx?SID=b88ca2f4788926cd30f68d3de5a3fbec&amp;node=40:7.0.1.1.1.90&amp;rgn=div6" TargetMode="External"/><Relationship Id="rId238" Type="http://schemas.openxmlformats.org/officeDocument/2006/relationships/hyperlink" Target="http://www.ecfr.gov/cgi-bin/text-idx?SID=b88ca2f4788926cd30f68d3de5a3fbec&amp;node=40:7.0.1.1.1.90&amp;rgn=div6" TargetMode="External"/><Relationship Id="rId23" Type="http://schemas.openxmlformats.org/officeDocument/2006/relationships/hyperlink" Target="http://www.ecfr.gov/cgi-bin/text-idx?SID=b88ca2f4788926cd30f68d3de5a3fbec&amp;node=40:7.0.1.1.1.90&amp;rgn=div6" TargetMode="External"/><Relationship Id="rId28" Type="http://schemas.openxmlformats.org/officeDocument/2006/relationships/hyperlink" Target="http://www.ecfr.gov/cgi-bin/text-idx?SID=b88ca2f4788926cd30f68d3de5a3fbec&amp;node=40:7.0.1.1.1.90&amp;rgn=div6" TargetMode="External"/><Relationship Id="rId49" Type="http://schemas.openxmlformats.org/officeDocument/2006/relationships/hyperlink" Target="http://www.ecfr.gov/cgi-bin/text-idx?SID=b88ca2f4788926cd30f68d3de5a3fbec&amp;node=40:7.0.1.1.1.90&amp;rgn=div6" TargetMode="External"/><Relationship Id="rId114" Type="http://schemas.openxmlformats.org/officeDocument/2006/relationships/hyperlink" Target="http://www.ecfr.gov/cgi-bin/text-idx?SID=b88ca2f4788926cd30f68d3de5a3fbec&amp;node=40:7.0.1.1.1.90&amp;rgn=div6" TargetMode="External"/><Relationship Id="rId119" Type="http://schemas.openxmlformats.org/officeDocument/2006/relationships/hyperlink" Target="http://www.ecfr.gov/cgi-bin/text-idx?SID=b88ca2f4788926cd30f68d3de5a3fbec&amp;node=40:7.0.1.1.1.90&amp;rgn=div6" TargetMode="External"/><Relationship Id="rId44" Type="http://schemas.openxmlformats.org/officeDocument/2006/relationships/hyperlink" Target="http://www.ecfr.gov/cgi-bin/text-idx?SID=b88ca2f4788926cd30f68d3de5a3fbec&amp;node=40:7.0.1.1.1.90&amp;rgn=div6" TargetMode="External"/><Relationship Id="rId60" Type="http://schemas.openxmlformats.org/officeDocument/2006/relationships/hyperlink" Target="http://www.ecfr.gov/cgi-bin/text-idx?SID=b88ca2f4788926cd30f68d3de5a3fbec&amp;node=40:7.0.1.1.1.90&amp;rgn=div6" TargetMode="External"/><Relationship Id="rId65" Type="http://schemas.openxmlformats.org/officeDocument/2006/relationships/hyperlink" Target="http://www.ecfr.gov/cgi-bin/text-idx?SID=b88ca2f4788926cd30f68d3de5a3fbec&amp;node=40:7.0.1.1.1.90&amp;rgn=div6" TargetMode="External"/><Relationship Id="rId81" Type="http://schemas.openxmlformats.org/officeDocument/2006/relationships/hyperlink" Target="http://www.ecfr.gov/cgi-bin/text-idx?SID=b88ca2f4788926cd30f68d3de5a3fbec&amp;node=40:7.0.1.1.1.90&amp;rgn=div6" TargetMode="External"/><Relationship Id="rId86" Type="http://schemas.openxmlformats.org/officeDocument/2006/relationships/hyperlink" Target="http://www.ecfr.gov/cgi-bin/text-idx?SID=b88ca2f4788926cd30f68d3de5a3fbec&amp;node=40:7.0.1.1.1.90&amp;rgn=div6" TargetMode="External"/><Relationship Id="rId130" Type="http://schemas.openxmlformats.org/officeDocument/2006/relationships/hyperlink" Target="http://www.ecfr.gov/cgi-bin/text-idx?SID=b88ca2f4788926cd30f68d3de5a3fbec&amp;node=40:7.0.1.1.1.90&amp;rgn=div6" TargetMode="External"/><Relationship Id="rId135" Type="http://schemas.openxmlformats.org/officeDocument/2006/relationships/hyperlink" Target="http://www.ecfr.gov/cgi-bin/text-idx?SID=b88ca2f4788926cd30f68d3de5a3fbec&amp;node=40:7.0.1.1.1.90&amp;rgn=div6" TargetMode="External"/><Relationship Id="rId151" Type="http://schemas.openxmlformats.org/officeDocument/2006/relationships/hyperlink" Target="http://www.ecfr.gov/cgi-bin/text-idx?SID=b88ca2f4788926cd30f68d3de5a3fbec&amp;node=40:7.0.1.1.1.90&amp;rgn=div6" TargetMode="External"/><Relationship Id="rId156" Type="http://schemas.openxmlformats.org/officeDocument/2006/relationships/hyperlink" Target="http://www.ecfr.gov/cgi-bin/text-idx?SID=b88ca2f4788926cd30f68d3de5a3fbec&amp;node=40:7.0.1.1.1.90&amp;rgn=div6" TargetMode="External"/><Relationship Id="rId177" Type="http://schemas.openxmlformats.org/officeDocument/2006/relationships/hyperlink" Target="http://www.ecfr.gov/cgi-bin/text-idx?SID=b88ca2f4788926cd30f68d3de5a3fbec&amp;node=40:7.0.1.1.1.90&amp;rgn=div6" TargetMode="External"/><Relationship Id="rId198" Type="http://schemas.openxmlformats.org/officeDocument/2006/relationships/hyperlink" Target="http://www.ecfr.gov/cgi-bin/text-idx?SID=b88ca2f4788926cd30f68d3de5a3fbec&amp;node=40:7.0.1.1.1.90&amp;rgn=div6" TargetMode="External"/><Relationship Id="rId172" Type="http://schemas.openxmlformats.org/officeDocument/2006/relationships/hyperlink" Target="http://www.ecfr.gov/cgi-bin/text-idx?SID=b88ca2f4788926cd30f68d3de5a3fbec&amp;node=40:7.0.1.1.1.90&amp;rgn=div6" TargetMode="External"/><Relationship Id="rId193" Type="http://schemas.openxmlformats.org/officeDocument/2006/relationships/hyperlink" Target="http://www.ecfr.gov/cgi-bin/text-idx?SID=b88ca2f4788926cd30f68d3de5a3fbec&amp;node=40:7.0.1.1.1.90&amp;rgn=div6" TargetMode="External"/><Relationship Id="rId202" Type="http://schemas.openxmlformats.org/officeDocument/2006/relationships/hyperlink" Target="http://www.ecfr.gov/cgi-bin/text-idx?SID=b88ca2f4788926cd30f68d3de5a3fbec&amp;node=40:7.0.1.1.1.90&amp;rgn=div6" TargetMode="External"/><Relationship Id="rId207" Type="http://schemas.openxmlformats.org/officeDocument/2006/relationships/hyperlink" Target="http://www.ecfr.gov/cgi-bin/text-idx?SID=b88ca2f4788926cd30f68d3de5a3fbec&amp;node=40:7.0.1.1.1.90&amp;rgn=div6" TargetMode="External"/><Relationship Id="rId223" Type="http://schemas.openxmlformats.org/officeDocument/2006/relationships/hyperlink" Target="http://www.ecfr.gov/cgi-bin/text-idx?SID=b88ca2f4788926cd30f68d3de5a3fbec&amp;node=40:7.0.1.1.1.90&amp;rgn=div6" TargetMode="External"/><Relationship Id="rId228" Type="http://schemas.openxmlformats.org/officeDocument/2006/relationships/hyperlink" Target="http://www.ecfr.gov/cgi-bin/text-idx?SID=b88ca2f4788926cd30f68d3de5a3fbec&amp;node=40:7.0.1.1.1.90&amp;rgn=div6" TargetMode="External"/><Relationship Id="rId244" Type="http://schemas.openxmlformats.org/officeDocument/2006/relationships/hyperlink" Target="http://www.gpo.gov/etc/sitemap.htm" TargetMode="External"/><Relationship Id="rId13" Type="http://schemas.openxmlformats.org/officeDocument/2006/relationships/hyperlink" Target="http://www.ecfr.gov/cgi-bin/text-idx?SID=b88ca2f4788926cd30f68d3de5a3fbec&amp;node=40:7.0.1.1.1.90&amp;rgn=div6" TargetMode="External"/><Relationship Id="rId18" Type="http://schemas.openxmlformats.org/officeDocument/2006/relationships/hyperlink" Target="http://www.ecfr.gov/cgi-bin/text-idx?SID=b88ca2f4788926cd30f68d3de5a3fbec&amp;node=40:7.0.1.1.1.90&amp;rgn=div6" TargetMode="External"/><Relationship Id="rId39" Type="http://schemas.openxmlformats.org/officeDocument/2006/relationships/hyperlink" Target="http://www.ecfr.gov/cgi-bin/text-idx?SID=b88ca2f4788926cd30f68d3de5a3fbec&amp;node=40:7.0.1.1.1.90&amp;rgn=div6" TargetMode="External"/><Relationship Id="rId109" Type="http://schemas.openxmlformats.org/officeDocument/2006/relationships/hyperlink" Target="http://www.ecfr.gov/cgi-bin/text-idx?SID=b88ca2f4788926cd30f68d3de5a3fbec&amp;node=40:7.0.1.1.1.90&amp;rgn=div6" TargetMode="External"/><Relationship Id="rId34" Type="http://schemas.openxmlformats.org/officeDocument/2006/relationships/hyperlink" Target="http://www.ecfr.gov/cgi-bin/text-idx?SID=b88ca2f4788926cd30f68d3de5a3fbec&amp;node=40:7.0.1.1.1.90&amp;rgn=div6" TargetMode="External"/><Relationship Id="rId50" Type="http://schemas.openxmlformats.org/officeDocument/2006/relationships/hyperlink" Target="http://www.ecfr.gov/cgi-bin/text-idx?SID=b88ca2f4788926cd30f68d3de5a3fbec&amp;node=40:7.0.1.1.1.90&amp;rgn=div6" TargetMode="External"/><Relationship Id="rId55" Type="http://schemas.openxmlformats.org/officeDocument/2006/relationships/hyperlink" Target="http://www.ecfr.gov/cgi-bin/text-idx?SID=b88ca2f4788926cd30f68d3de5a3fbec&amp;node=40:7.0.1.1.1.90&amp;rgn=div6" TargetMode="External"/><Relationship Id="rId76" Type="http://schemas.openxmlformats.org/officeDocument/2006/relationships/hyperlink" Target="http://www.ecfr.gov/cgi-bin/text-idx?SID=b88ca2f4788926cd30f68d3de5a3fbec&amp;node=40:7.0.1.1.1.90&amp;rgn=div6" TargetMode="External"/><Relationship Id="rId97" Type="http://schemas.openxmlformats.org/officeDocument/2006/relationships/hyperlink" Target="http://www.ecfr.gov/cgi-bin/text-idx?SID=b88ca2f4788926cd30f68d3de5a3fbec&amp;node=40:7.0.1.1.1.90&amp;rgn=div6" TargetMode="External"/><Relationship Id="rId104" Type="http://schemas.openxmlformats.org/officeDocument/2006/relationships/hyperlink" Target="http://www.ecfr.gov/cgi-bin/text-idx?SID=b88ca2f4788926cd30f68d3de5a3fbec&amp;node=40:7.0.1.1.1.90&amp;rgn=div6" TargetMode="External"/><Relationship Id="rId120" Type="http://schemas.openxmlformats.org/officeDocument/2006/relationships/hyperlink" Target="http://www.ecfr.gov/cgi-bin/text-idx?SID=b88ca2f4788926cd30f68d3de5a3fbec&amp;node=40:7.0.1.1.1.90&amp;rgn=div6#_top" TargetMode="External"/><Relationship Id="rId125" Type="http://schemas.openxmlformats.org/officeDocument/2006/relationships/hyperlink" Target="http://www.ecfr.gov/cgi-bin/text-idx?SID=b88ca2f4788926cd30f68d3de5a3fbec&amp;node=40:7.0.1.1.1.90&amp;rgn=div6" TargetMode="External"/><Relationship Id="rId141" Type="http://schemas.openxmlformats.org/officeDocument/2006/relationships/hyperlink" Target="http://www.ecfr.gov/cgi-bin/text-idx?SID=b88ca2f4788926cd30f68d3de5a3fbec&amp;node=40:7.0.1.1.1.90&amp;rgn=div6" TargetMode="External"/><Relationship Id="rId146" Type="http://schemas.openxmlformats.org/officeDocument/2006/relationships/hyperlink" Target="http://www.ecfr.gov/cgi-bin/text-idx?SID=b88ca2f4788926cd30f68d3de5a3fbec&amp;node=40:7.0.1.1.1.90&amp;rgn=div6" TargetMode="External"/><Relationship Id="rId167" Type="http://schemas.openxmlformats.org/officeDocument/2006/relationships/hyperlink" Target="http://www.ecfr.gov/cgi-bin/text-idx?SID=b88ca2f4788926cd30f68d3de5a3fbec&amp;node=40:7.0.1.1.1.90&amp;rgn=div6" TargetMode="External"/><Relationship Id="rId188" Type="http://schemas.openxmlformats.org/officeDocument/2006/relationships/hyperlink" Target="http://www.ecfr.gov/cgi-bin/text-idx?SID=b88ca2f4788926cd30f68d3de5a3fbec&amp;node=40:7.0.1.1.1.90&amp;rgn=div6" TargetMode="External"/><Relationship Id="rId7" Type="http://schemas.openxmlformats.org/officeDocument/2006/relationships/hyperlink" Target="http://www.ecfr.gov/cgi-bin/text-idx?SID=b88ca2f4788926cd30f68d3de5a3fbec&amp;node=40:7.0.1.1.1.90&amp;rgn=div6" TargetMode="External"/><Relationship Id="rId71" Type="http://schemas.openxmlformats.org/officeDocument/2006/relationships/hyperlink" Target="http://www.ecfr.gov/cgi-bin/text-idx?SID=b88ca2f4788926cd30f68d3de5a3fbec&amp;node=40:7.0.1.1.1.90&amp;rgn=div6" TargetMode="External"/><Relationship Id="rId92" Type="http://schemas.openxmlformats.org/officeDocument/2006/relationships/hyperlink" Target="http://www.ecfr.gov/cgi-bin/text-idx?SID=b88ca2f4788926cd30f68d3de5a3fbec&amp;node=40:7.0.1.1.1.90&amp;rgn=div6" TargetMode="External"/><Relationship Id="rId162" Type="http://schemas.openxmlformats.org/officeDocument/2006/relationships/hyperlink" Target="http://www.ecfr.gov/cgi-bin/text-idx?SID=b88ca2f4788926cd30f68d3de5a3fbec&amp;node=40:7.0.1.1.1.90&amp;rgn=div6" TargetMode="External"/><Relationship Id="rId183" Type="http://schemas.openxmlformats.org/officeDocument/2006/relationships/hyperlink" Target="http://www.ecfr.gov/cgi-bin/text-idx?SID=b88ca2f4788926cd30f68d3de5a3fbec&amp;node=40:7.0.1.1.1.90&amp;rgn=div6" TargetMode="External"/><Relationship Id="rId213" Type="http://schemas.openxmlformats.org/officeDocument/2006/relationships/hyperlink" Target="http://www.ecfr.gov/cgi-bin/text-idx?SID=b88ca2f4788926cd30f68d3de5a3fbec&amp;node=40:7.0.1.1.1.90&amp;rgn=div6" TargetMode="External"/><Relationship Id="rId218" Type="http://schemas.openxmlformats.org/officeDocument/2006/relationships/hyperlink" Target="http://www.ecfr.gov/cgi-bin/text-idx?SID=b88ca2f4788926cd30f68d3de5a3fbec&amp;node=40:7.0.1.1.1.90&amp;rgn=div6" TargetMode="External"/><Relationship Id="rId234" Type="http://schemas.openxmlformats.org/officeDocument/2006/relationships/hyperlink" Target="http://www.ecfr.gov/cgi-bin/text-idx?SID=b88ca2f4788926cd30f68d3de5a3fbec&amp;node=40:7.0.1.1.1.90&amp;rgn=div6" TargetMode="External"/><Relationship Id="rId239" Type="http://schemas.openxmlformats.org/officeDocument/2006/relationships/hyperlink" Target="mailto:ecfr@nara.gov" TargetMode="External"/><Relationship Id="rId2" Type="http://schemas.openxmlformats.org/officeDocument/2006/relationships/settings" Target="settings.xml"/><Relationship Id="rId29" Type="http://schemas.openxmlformats.org/officeDocument/2006/relationships/hyperlink" Target="http://www.ecfr.gov/cgi-bin/text-idx?SID=b88ca2f4788926cd30f68d3de5a3fbec&amp;node=40:7.0.1.1.1.90&amp;rgn=div6" TargetMode="External"/><Relationship Id="rId24" Type="http://schemas.openxmlformats.org/officeDocument/2006/relationships/hyperlink" Target="http://www.ecfr.gov/cgi-bin/text-idx?SID=b88ca2f4788926cd30f68d3de5a3fbec&amp;node=40:7.0.1.1.1.90&amp;rgn=div6" TargetMode="External"/><Relationship Id="rId40" Type="http://schemas.openxmlformats.org/officeDocument/2006/relationships/hyperlink" Target="http://www.ecfr.gov/cgi-bin/text-idx?SID=b88ca2f4788926cd30f68d3de5a3fbec&amp;node=40:7.0.1.1.1.90&amp;rgn=div6" TargetMode="External"/><Relationship Id="rId45" Type="http://schemas.openxmlformats.org/officeDocument/2006/relationships/hyperlink" Target="http://www.ecfr.gov/cgi-bin/text-idx?SID=b88ca2f4788926cd30f68d3de5a3fbec&amp;node=40:7.0.1.1.1.90&amp;rgn=div6" TargetMode="External"/><Relationship Id="rId66" Type="http://schemas.openxmlformats.org/officeDocument/2006/relationships/hyperlink" Target="http://www.ecfr.gov/cgi-bin/text-idx?SID=b88ca2f4788926cd30f68d3de5a3fbec&amp;node=40:7.0.1.1.1.90&amp;rgn=div6" TargetMode="External"/><Relationship Id="rId87" Type="http://schemas.openxmlformats.org/officeDocument/2006/relationships/hyperlink" Target="http://www.ecfr.gov/cgi-bin/text-idx?SID=b88ca2f4788926cd30f68d3de5a3fbec&amp;node=40:7.0.1.1.1.90&amp;rgn=div6" TargetMode="External"/><Relationship Id="rId110" Type="http://schemas.openxmlformats.org/officeDocument/2006/relationships/hyperlink" Target="http://www.ecfr.gov/cgi-bin/text-idx?SID=b88ca2f4788926cd30f68d3de5a3fbec&amp;node=40:7.0.1.1.1.90&amp;rgn=div6" TargetMode="External"/><Relationship Id="rId115" Type="http://schemas.openxmlformats.org/officeDocument/2006/relationships/hyperlink" Target="http://www.ecfr.gov/cgi-bin/text-idx?SID=b88ca2f4788926cd30f68d3de5a3fbec&amp;node=40:7.0.1.1.1.90&amp;rgn=div6" TargetMode="External"/><Relationship Id="rId131" Type="http://schemas.openxmlformats.org/officeDocument/2006/relationships/hyperlink" Target="http://www.ecfr.gov/cgi-bin/text-idx?SID=b88ca2f4788926cd30f68d3de5a3fbec&amp;node=40:7.0.1.1.1.90&amp;rgn=div6" TargetMode="External"/><Relationship Id="rId136" Type="http://schemas.openxmlformats.org/officeDocument/2006/relationships/hyperlink" Target="http://www.ecfr.gov/cgi-bin/text-idx?SID=b88ca2f4788926cd30f68d3de5a3fbec&amp;node=40:7.0.1.1.1.90&amp;rgn=div6" TargetMode="External"/><Relationship Id="rId157" Type="http://schemas.openxmlformats.org/officeDocument/2006/relationships/hyperlink" Target="http://www.ecfr.gov/cgi-bin/text-idx?SID=b88ca2f4788926cd30f68d3de5a3fbec&amp;node=40:7.0.1.1.1.90&amp;rgn=div6" TargetMode="External"/><Relationship Id="rId178" Type="http://schemas.openxmlformats.org/officeDocument/2006/relationships/hyperlink" Target="http://www.ecfr.gov/cgi-bin/text-idx?SID=b88ca2f4788926cd30f68d3de5a3fbec&amp;node=40:7.0.1.1.1.90&amp;rgn=div6" TargetMode="External"/><Relationship Id="rId61" Type="http://schemas.openxmlformats.org/officeDocument/2006/relationships/hyperlink" Target="http://www.ecfr.gov/cgi-bin/text-idx?SID=b88ca2f4788926cd30f68d3de5a3fbec&amp;node=40:7.0.1.1.1.90&amp;rgn=div6" TargetMode="External"/><Relationship Id="rId82" Type="http://schemas.openxmlformats.org/officeDocument/2006/relationships/hyperlink" Target="http://www.ecfr.gov/cgi-bin/text-idx?SID=b88ca2f4788926cd30f68d3de5a3fbec&amp;node=40:7.0.1.1.1.90&amp;rgn=div6" TargetMode="External"/><Relationship Id="rId152" Type="http://schemas.openxmlformats.org/officeDocument/2006/relationships/hyperlink" Target="http://www.ecfr.gov/cgi-bin/text-idx?SID=b88ca2f4788926cd30f68d3de5a3fbec&amp;node=40:7.0.1.1.1.90&amp;rgn=div6" TargetMode="External"/><Relationship Id="rId173" Type="http://schemas.openxmlformats.org/officeDocument/2006/relationships/hyperlink" Target="http://www.ecfr.gov/cgi-bin/text-idx?SID=b88ca2f4788926cd30f68d3de5a3fbec&amp;node=40:7.0.1.1.1.90&amp;rgn=div6" TargetMode="External"/><Relationship Id="rId194" Type="http://schemas.openxmlformats.org/officeDocument/2006/relationships/hyperlink" Target="http://www.ecfr.gov/cgi-bin/text-idx?SID=b88ca2f4788926cd30f68d3de5a3fbec&amp;node=40:7.0.1.1.1.90&amp;rgn=div6" TargetMode="External"/><Relationship Id="rId199" Type="http://schemas.openxmlformats.org/officeDocument/2006/relationships/hyperlink" Target="http://www.ecfr.gov/cgi-bin/text-idx?SID=b88ca2f4788926cd30f68d3de5a3fbec&amp;node=40:7.0.1.1.1.90&amp;rgn=div6" TargetMode="External"/><Relationship Id="rId203" Type="http://schemas.openxmlformats.org/officeDocument/2006/relationships/hyperlink" Target="http://www.ecfr.gov/cgi-bin/text-idx?SID=b88ca2f4788926cd30f68d3de5a3fbec&amp;node=40:7.0.1.1.1.90&amp;rgn=div6" TargetMode="External"/><Relationship Id="rId208" Type="http://schemas.openxmlformats.org/officeDocument/2006/relationships/hyperlink" Target="http://www.ecfr.gov/cgi-bin/text-idx?SID=b88ca2f4788926cd30f68d3de5a3fbec&amp;node=40:7.0.1.1.1.90&amp;rgn=div6" TargetMode="External"/><Relationship Id="rId229" Type="http://schemas.openxmlformats.org/officeDocument/2006/relationships/image" Target="media/image2.gif"/><Relationship Id="rId19" Type="http://schemas.openxmlformats.org/officeDocument/2006/relationships/hyperlink" Target="http://www.ecfr.gov/cgi-bin/text-idx?SID=b88ca2f4788926cd30f68d3de5a3fbec&amp;node=40:7.0.1.1.1.90&amp;rgn=div6" TargetMode="External"/><Relationship Id="rId224" Type="http://schemas.openxmlformats.org/officeDocument/2006/relationships/hyperlink" Target="http://www.ecfr.gov/cgi-bin/text-idx?SID=b88ca2f4788926cd30f68d3de5a3fbec&amp;node=40:7.0.1.1.1.90&amp;rgn=div6" TargetMode="External"/><Relationship Id="rId240" Type="http://schemas.openxmlformats.org/officeDocument/2006/relationships/hyperlink" Target="mailto:webteam@gpo.gov" TargetMode="External"/><Relationship Id="rId245" Type="http://schemas.openxmlformats.org/officeDocument/2006/relationships/hyperlink" Target="http://www.gpo.gov/about/coop.htm" TargetMode="External"/><Relationship Id="rId14" Type="http://schemas.openxmlformats.org/officeDocument/2006/relationships/hyperlink" Target="http://www.ecfr.gov/cgi-bin/text-idx?SID=b88ca2f4788926cd30f68d3de5a3fbec&amp;node=40:7.0.1.1.1.90&amp;rgn=div6" TargetMode="External"/><Relationship Id="rId30" Type="http://schemas.openxmlformats.org/officeDocument/2006/relationships/hyperlink" Target="http://www.ecfr.gov/cgi-bin/text-idx?SID=b88ca2f4788926cd30f68d3de5a3fbec&amp;node=40:7.0.1.1.1.90&amp;rgn=div6" TargetMode="External"/><Relationship Id="rId35" Type="http://schemas.openxmlformats.org/officeDocument/2006/relationships/hyperlink" Target="http://www.ecfr.gov/cgi-bin/text-idx?SID=b88ca2f4788926cd30f68d3de5a3fbec&amp;node=40:7.0.1.1.1.90&amp;rgn=div6" TargetMode="External"/><Relationship Id="rId56" Type="http://schemas.openxmlformats.org/officeDocument/2006/relationships/hyperlink" Target="http://www.ecfr.gov/cgi-bin/text-idx?SID=b88ca2f4788926cd30f68d3de5a3fbec&amp;node=40:7.0.1.1.1.90&amp;rgn=div6" TargetMode="External"/><Relationship Id="rId77" Type="http://schemas.openxmlformats.org/officeDocument/2006/relationships/hyperlink" Target="http://www.ecfr.gov/cgi-bin/text-idx?SID=b88ca2f4788926cd30f68d3de5a3fbec&amp;node=40:7.0.1.1.1.90&amp;rgn=div6" TargetMode="External"/><Relationship Id="rId100" Type="http://schemas.openxmlformats.org/officeDocument/2006/relationships/hyperlink" Target="http://www.ecfr.gov/cgi-bin/text-idx?SID=b88ca2f4788926cd30f68d3de5a3fbec&amp;node=40:7.0.1.1.1.90&amp;rgn=div6" TargetMode="External"/><Relationship Id="rId105" Type="http://schemas.openxmlformats.org/officeDocument/2006/relationships/hyperlink" Target="http://www.ecfr.gov/cgi-bin/text-idx?SID=b88ca2f4788926cd30f68d3de5a3fbec&amp;node=40:7.0.1.1.1.90&amp;rgn=div6" TargetMode="External"/><Relationship Id="rId126" Type="http://schemas.openxmlformats.org/officeDocument/2006/relationships/hyperlink" Target="http://www.ecfr.gov/cgi-bin/text-idx?SID=b88ca2f4788926cd30f68d3de5a3fbec&amp;node=40:7.0.1.1.1.90&amp;rgn=div6" TargetMode="External"/><Relationship Id="rId147" Type="http://schemas.openxmlformats.org/officeDocument/2006/relationships/hyperlink" Target="http://www.ecfr.gov/cgi-bin/text-idx?SID=b88ca2f4788926cd30f68d3de5a3fbec&amp;node=40:7.0.1.1.1.90&amp;rgn=div6" TargetMode="External"/><Relationship Id="rId168" Type="http://schemas.openxmlformats.org/officeDocument/2006/relationships/hyperlink" Target="http://www.ecfr.gov/cgi-bin/text-idx?SID=b88ca2f4788926cd30f68d3de5a3fbec&amp;node=40:7.0.1.1.1.90&amp;rgn=div6" TargetMode="External"/><Relationship Id="rId8" Type="http://schemas.openxmlformats.org/officeDocument/2006/relationships/hyperlink" Target="http://www.ecfr.gov/cgi-bin/text-idx?SID=b88ca2f4788926cd30f68d3de5a3fbec&amp;node=40:7.0.1.1.1.90&amp;rgn=div6" TargetMode="External"/><Relationship Id="rId51" Type="http://schemas.openxmlformats.org/officeDocument/2006/relationships/hyperlink" Target="http://www.ecfr.gov/cgi-bin/text-idx?SID=b88ca2f4788926cd30f68d3de5a3fbec&amp;node=40:7.0.1.1.1.90&amp;rgn=div6" TargetMode="External"/><Relationship Id="rId72" Type="http://schemas.openxmlformats.org/officeDocument/2006/relationships/hyperlink" Target="http://www.ecfr.gov/cgi-bin/text-idx?SID=b88ca2f4788926cd30f68d3de5a3fbec&amp;node=40:7.0.1.1.1.90&amp;rgn=div6" TargetMode="External"/><Relationship Id="rId93" Type="http://schemas.openxmlformats.org/officeDocument/2006/relationships/hyperlink" Target="http://www.ecfr.gov/cgi-bin/text-idx?SID=b88ca2f4788926cd30f68d3de5a3fbec&amp;node=40:7.0.1.1.1.90&amp;rgn=div6" TargetMode="External"/><Relationship Id="rId98" Type="http://schemas.openxmlformats.org/officeDocument/2006/relationships/hyperlink" Target="http://www.ecfr.gov/cgi-bin/text-idx?SID=b88ca2f4788926cd30f68d3de5a3fbec&amp;node=40:7.0.1.1.1.90&amp;rgn=div6" TargetMode="External"/><Relationship Id="rId121" Type="http://schemas.openxmlformats.org/officeDocument/2006/relationships/image" Target="media/image1.gif"/><Relationship Id="rId142" Type="http://schemas.openxmlformats.org/officeDocument/2006/relationships/hyperlink" Target="http://www.ecfr.gov/cgi-bin/text-idx?SID=b88ca2f4788926cd30f68d3de5a3fbec&amp;node=40:7.0.1.1.1.90&amp;rgn=div6" TargetMode="External"/><Relationship Id="rId163" Type="http://schemas.openxmlformats.org/officeDocument/2006/relationships/hyperlink" Target="http://www.ecfr.gov/cgi-bin/text-idx?SID=b88ca2f4788926cd30f68d3de5a3fbec&amp;node=40:7.0.1.1.1.90&amp;rgn=div6" TargetMode="External"/><Relationship Id="rId184" Type="http://schemas.openxmlformats.org/officeDocument/2006/relationships/hyperlink" Target="http://www.ecfr.gov/cgi-bin/text-idx?SID=b88ca2f4788926cd30f68d3de5a3fbec&amp;node=40:7.0.1.1.1.90&amp;rgn=div6" TargetMode="External"/><Relationship Id="rId189" Type="http://schemas.openxmlformats.org/officeDocument/2006/relationships/hyperlink" Target="http://www.ecfr.gov/cgi-bin/text-idx?SID=b88ca2f4788926cd30f68d3de5a3fbec&amp;node=40:7.0.1.1.1.90&amp;rgn=div6" TargetMode="External"/><Relationship Id="rId219" Type="http://schemas.openxmlformats.org/officeDocument/2006/relationships/hyperlink" Target="http://www.ecfr.gov/cgi-bin/text-idx?SID=b88ca2f4788926cd30f68d3de5a3fbec&amp;node=40:7.0.1.1.1.90&amp;rgn=div6" TargetMode="External"/><Relationship Id="rId3" Type="http://schemas.openxmlformats.org/officeDocument/2006/relationships/webSettings" Target="webSettings.xml"/><Relationship Id="rId214" Type="http://schemas.openxmlformats.org/officeDocument/2006/relationships/hyperlink" Target="http://www.ecfr.gov/cgi-bin/text-idx?SID=b88ca2f4788926cd30f68d3de5a3fbec&amp;node=40:7.0.1.1.1.90&amp;rgn=div6" TargetMode="External"/><Relationship Id="rId230" Type="http://schemas.openxmlformats.org/officeDocument/2006/relationships/image" Target="media/image3.gif"/><Relationship Id="rId235" Type="http://schemas.openxmlformats.org/officeDocument/2006/relationships/hyperlink" Target="http://www.ecfr.gov/cgi-bin/text-idx?SID=b88ca2f4788926cd30f68d3de5a3fbec&amp;node=40:7.0.1.1.1.90&amp;rgn=div6" TargetMode="External"/><Relationship Id="rId25" Type="http://schemas.openxmlformats.org/officeDocument/2006/relationships/hyperlink" Target="http://www.ecfr.gov/cgi-bin/text-idx?SID=b88ca2f4788926cd30f68d3de5a3fbec&amp;node=40:7.0.1.1.1.90&amp;rgn=div6" TargetMode="External"/><Relationship Id="rId46" Type="http://schemas.openxmlformats.org/officeDocument/2006/relationships/hyperlink" Target="http://www.ecfr.gov/cgi-bin/text-idx?SID=b88ca2f4788926cd30f68d3de5a3fbec&amp;node=40:7.0.1.1.1.90&amp;rgn=div6" TargetMode="External"/><Relationship Id="rId67" Type="http://schemas.openxmlformats.org/officeDocument/2006/relationships/hyperlink" Target="http://www.ecfr.gov/cgi-bin/text-idx?SID=b88ca2f4788926cd30f68d3de5a3fbec&amp;node=40:7.0.1.1.1.90&amp;rgn=div6" TargetMode="External"/><Relationship Id="rId116" Type="http://schemas.openxmlformats.org/officeDocument/2006/relationships/hyperlink" Target="http://www.ecfr.gov/cgi-bin/text-idx?SID=b88ca2f4788926cd30f68d3de5a3fbec&amp;node=40:7.0.1.1.1.90&amp;rgn=div6" TargetMode="External"/><Relationship Id="rId137" Type="http://schemas.openxmlformats.org/officeDocument/2006/relationships/hyperlink" Target="http://www.ecfr.gov/cgi-bin/text-idx?SID=b88ca2f4788926cd30f68d3de5a3fbec&amp;node=40:7.0.1.1.1.90&amp;rgn=div6" TargetMode="External"/><Relationship Id="rId158" Type="http://schemas.openxmlformats.org/officeDocument/2006/relationships/hyperlink" Target="http://www.ecfr.gov/cgi-bin/text-idx?SID=b88ca2f4788926cd30f68d3de5a3fbec&amp;node=40:7.0.1.1.1.90&amp;rgn=div6" TargetMode="External"/><Relationship Id="rId20" Type="http://schemas.openxmlformats.org/officeDocument/2006/relationships/hyperlink" Target="http://www.ecfr.gov/cgi-bin/text-idx?SID=b88ca2f4788926cd30f68d3de5a3fbec&amp;node=40:7.0.1.1.1.90&amp;rgn=div6" TargetMode="External"/><Relationship Id="rId41" Type="http://schemas.openxmlformats.org/officeDocument/2006/relationships/hyperlink" Target="http://www.ecfr.gov/cgi-bin/text-idx?SID=b88ca2f4788926cd30f68d3de5a3fbec&amp;node=40:7.0.1.1.1.90&amp;rgn=div6" TargetMode="External"/><Relationship Id="rId62" Type="http://schemas.openxmlformats.org/officeDocument/2006/relationships/hyperlink" Target="http://www.ecfr.gov/cgi-bin/text-idx?SID=b88ca2f4788926cd30f68d3de5a3fbec&amp;node=40:7.0.1.1.1.90&amp;rgn=div6" TargetMode="External"/><Relationship Id="rId83" Type="http://schemas.openxmlformats.org/officeDocument/2006/relationships/hyperlink" Target="http://www.ecfr.gov/cgi-bin/text-idx?SID=b88ca2f4788926cd30f68d3de5a3fbec&amp;node=40:7.0.1.1.1.90&amp;rgn=div6" TargetMode="External"/><Relationship Id="rId88" Type="http://schemas.openxmlformats.org/officeDocument/2006/relationships/hyperlink" Target="http://www.ecfr.gov/cgi-bin/text-idx?SID=b88ca2f4788926cd30f68d3de5a3fbec&amp;node=40:7.0.1.1.1.90&amp;rgn=div6" TargetMode="External"/><Relationship Id="rId111" Type="http://schemas.openxmlformats.org/officeDocument/2006/relationships/hyperlink" Target="http://www.ecfr.gov/cgi-bin/text-idx?SID=b88ca2f4788926cd30f68d3de5a3fbec&amp;node=40:7.0.1.1.1.90&amp;rgn=div6" TargetMode="External"/><Relationship Id="rId132" Type="http://schemas.openxmlformats.org/officeDocument/2006/relationships/hyperlink" Target="http://www.ecfr.gov/cgi-bin/text-idx?SID=b88ca2f4788926cd30f68d3de5a3fbec&amp;node=40:7.0.1.1.1.90&amp;rgn=div6" TargetMode="External"/><Relationship Id="rId153" Type="http://schemas.openxmlformats.org/officeDocument/2006/relationships/hyperlink" Target="http://www.ecfr.gov/cgi-bin/text-idx?SID=b88ca2f4788926cd30f68d3de5a3fbec&amp;node=40:7.0.1.1.1.90&amp;rgn=div6" TargetMode="External"/><Relationship Id="rId174" Type="http://schemas.openxmlformats.org/officeDocument/2006/relationships/hyperlink" Target="http://www.ecfr.gov/cgi-bin/text-idx?SID=b88ca2f4788926cd30f68d3de5a3fbec&amp;node=40:7.0.1.1.1.90&amp;rgn=div6" TargetMode="External"/><Relationship Id="rId179" Type="http://schemas.openxmlformats.org/officeDocument/2006/relationships/hyperlink" Target="http://www.ecfr.gov/cgi-bin/text-idx?SID=b88ca2f4788926cd30f68d3de5a3fbec&amp;node=40:7.0.1.1.1.90&amp;rgn=div6" TargetMode="External"/><Relationship Id="rId195" Type="http://schemas.openxmlformats.org/officeDocument/2006/relationships/hyperlink" Target="http://www.ecfr.gov/cgi-bin/text-idx?SID=b88ca2f4788926cd30f68d3de5a3fbec&amp;node=40:7.0.1.1.1.90&amp;rgn=div6" TargetMode="External"/><Relationship Id="rId209" Type="http://schemas.openxmlformats.org/officeDocument/2006/relationships/hyperlink" Target="http://www.ecfr.gov/cgi-bin/text-idx?SID=b88ca2f4788926cd30f68d3de5a3fbec&amp;node=40:7.0.1.1.1.90&amp;rgn=div6" TargetMode="External"/><Relationship Id="rId190" Type="http://schemas.openxmlformats.org/officeDocument/2006/relationships/hyperlink" Target="http://www.ecfr.gov/cgi-bin/text-idx?SID=b88ca2f4788926cd30f68d3de5a3fbec&amp;node=40:7.0.1.1.1.90&amp;rgn=div6" TargetMode="External"/><Relationship Id="rId204" Type="http://schemas.openxmlformats.org/officeDocument/2006/relationships/hyperlink" Target="http://www.ecfr.gov/cgi-bin/text-idx?SID=b88ca2f4788926cd30f68d3de5a3fbec&amp;node=40:7.0.1.1.1.90&amp;rgn=div6" TargetMode="External"/><Relationship Id="rId220" Type="http://schemas.openxmlformats.org/officeDocument/2006/relationships/hyperlink" Target="http://www.ecfr.gov/cgi-bin/text-idx?SID=b88ca2f4788926cd30f68d3de5a3fbec&amp;node=40:7.0.1.1.1.90&amp;rgn=div6" TargetMode="External"/><Relationship Id="rId225" Type="http://schemas.openxmlformats.org/officeDocument/2006/relationships/hyperlink" Target="http://www.ecfr.gov/cgi-bin/text-idx?SID=b88ca2f4788926cd30f68d3de5a3fbec&amp;node=40:7.0.1.1.1.90&amp;rgn=div6" TargetMode="External"/><Relationship Id="rId241" Type="http://schemas.openxmlformats.org/officeDocument/2006/relationships/hyperlink" Target="http://www.gpo.gov/etc/privacy.htm" TargetMode="External"/><Relationship Id="rId246" Type="http://schemas.openxmlformats.org/officeDocument/2006/relationships/fontTable" Target="fontTable.xml"/><Relationship Id="rId15" Type="http://schemas.openxmlformats.org/officeDocument/2006/relationships/hyperlink" Target="http://www.ecfr.gov/cgi-bin/text-idx?SID=b88ca2f4788926cd30f68d3de5a3fbec&amp;node=40:7.0.1.1.1.90&amp;rgn=div6" TargetMode="External"/><Relationship Id="rId36" Type="http://schemas.openxmlformats.org/officeDocument/2006/relationships/hyperlink" Target="http://www.ecfr.gov/cgi-bin/text-idx?SID=b88ca2f4788926cd30f68d3de5a3fbec&amp;node=40:7.0.1.1.1.90&amp;rgn=div6" TargetMode="External"/><Relationship Id="rId57" Type="http://schemas.openxmlformats.org/officeDocument/2006/relationships/hyperlink" Target="http://www.ecfr.gov/cgi-bin/text-idx?SID=b88ca2f4788926cd30f68d3de5a3fbec&amp;node=40:7.0.1.1.1.90&amp;rgn=div6" TargetMode="External"/><Relationship Id="rId106" Type="http://schemas.openxmlformats.org/officeDocument/2006/relationships/hyperlink" Target="http://www.ecfr.gov/cgi-bin/text-idx?SID=b88ca2f4788926cd30f68d3de5a3fbec&amp;node=40:7.0.1.1.1.90&amp;rgn=div6" TargetMode="External"/><Relationship Id="rId127" Type="http://schemas.openxmlformats.org/officeDocument/2006/relationships/hyperlink" Target="http://www.ecfr.gov/cgi-bin/text-idx?SID=b88ca2f4788926cd30f68d3de5a3fbec&amp;node=40:7.0.1.1.1.90&amp;rgn=div6" TargetMode="External"/><Relationship Id="rId10" Type="http://schemas.openxmlformats.org/officeDocument/2006/relationships/hyperlink" Target="http://www.ecfr.gov/cgi-bin/text-idx?SID=b88ca2f4788926cd30f68d3de5a3fbec&amp;node=40:7.0.1.1.1.90&amp;rgn=div6" TargetMode="External"/><Relationship Id="rId31" Type="http://schemas.openxmlformats.org/officeDocument/2006/relationships/hyperlink" Target="http://www.ecfr.gov/cgi-bin/text-idx?SID=b88ca2f4788926cd30f68d3de5a3fbec&amp;node=40:7.0.1.1.1.90&amp;rgn=div6" TargetMode="External"/><Relationship Id="rId52" Type="http://schemas.openxmlformats.org/officeDocument/2006/relationships/hyperlink" Target="http://www.ecfr.gov/cgi-bin/text-idx?SID=b88ca2f4788926cd30f68d3de5a3fbec&amp;node=40:7.0.1.1.1.90&amp;rgn=div6" TargetMode="External"/><Relationship Id="rId73" Type="http://schemas.openxmlformats.org/officeDocument/2006/relationships/hyperlink" Target="http://www.ecfr.gov/cgi-bin/text-idx?SID=b88ca2f4788926cd30f68d3de5a3fbec&amp;node=40:7.0.1.1.1.90&amp;rgn=div6" TargetMode="External"/><Relationship Id="rId78" Type="http://schemas.openxmlformats.org/officeDocument/2006/relationships/hyperlink" Target="http://www.ecfr.gov/cgi-bin/text-idx?SID=b88ca2f4788926cd30f68d3de5a3fbec&amp;node=40:7.0.1.1.1.90&amp;rgn=div6" TargetMode="External"/><Relationship Id="rId94" Type="http://schemas.openxmlformats.org/officeDocument/2006/relationships/hyperlink" Target="http://www.ecfr.gov/cgi-bin/text-idx?SID=b88ca2f4788926cd30f68d3de5a3fbec&amp;node=40:7.0.1.1.1.90&amp;rgn=div6" TargetMode="External"/><Relationship Id="rId99" Type="http://schemas.openxmlformats.org/officeDocument/2006/relationships/hyperlink" Target="http://www.ecfr.gov/cgi-bin/text-idx?SID=b88ca2f4788926cd30f68d3de5a3fbec&amp;node=40:7.0.1.1.1.90&amp;rgn=div6" TargetMode="External"/><Relationship Id="rId101" Type="http://schemas.openxmlformats.org/officeDocument/2006/relationships/hyperlink" Target="http://www.ecfr.gov/cgi-bin/text-idx?SID=b88ca2f4788926cd30f68d3de5a3fbec&amp;node=40:7.0.1.1.1.90&amp;rgn=div6" TargetMode="External"/><Relationship Id="rId122" Type="http://schemas.openxmlformats.org/officeDocument/2006/relationships/hyperlink" Target="http://www.ecfr.gov/cgi-bin/text-idx?SID=b88ca2f4788926cd30f68d3de5a3fbec&amp;node=40:7.0.1.1.1.90&amp;rgn=div6" TargetMode="External"/><Relationship Id="rId143" Type="http://schemas.openxmlformats.org/officeDocument/2006/relationships/hyperlink" Target="http://www.ecfr.gov/cgi-bin/text-idx?SID=b88ca2f4788926cd30f68d3de5a3fbec&amp;node=40:7.0.1.1.1.90&amp;rgn=div6" TargetMode="External"/><Relationship Id="rId148" Type="http://schemas.openxmlformats.org/officeDocument/2006/relationships/hyperlink" Target="http://www.ecfr.gov/cgi-bin/text-idx?SID=b88ca2f4788926cd30f68d3de5a3fbec&amp;node=40:7.0.1.1.1.90&amp;rgn=div6" TargetMode="External"/><Relationship Id="rId164" Type="http://schemas.openxmlformats.org/officeDocument/2006/relationships/hyperlink" Target="http://www.ecfr.gov/cgi-bin/text-idx?SID=b88ca2f4788926cd30f68d3de5a3fbec&amp;node=40:7.0.1.1.1.90&amp;rgn=div6" TargetMode="External"/><Relationship Id="rId169" Type="http://schemas.openxmlformats.org/officeDocument/2006/relationships/hyperlink" Target="http://www.ecfr.gov/cgi-bin/text-idx?SID=b88ca2f4788926cd30f68d3de5a3fbec&amp;node=40:7.0.1.1.1.90&amp;rgn=div6" TargetMode="External"/><Relationship Id="rId185" Type="http://schemas.openxmlformats.org/officeDocument/2006/relationships/hyperlink" Target="http://www.ecfr.gov/cgi-bin/text-idx?SID=b88ca2f4788926cd30f68d3de5a3fbec&amp;node=40:7.0.1.1.1.90&amp;rgn=div6" TargetMode="External"/><Relationship Id="rId4" Type="http://schemas.openxmlformats.org/officeDocument/2006/relationships/hyperlink" Target="http://www.ecfr.gov/cgi-bin/text-idx?SID=b88ca2f4788926cd30f68d3de5a3fbec&amp;node=40:7.0.1.1.1.90&amp;rgn=div6" TargetMode="External"/><Relationship Id="rId9" Type="http://schemas.openxmlformats.org/officeDocument/2006/relationships/hyperlink" Target="http://www.ecfr.gov/cgi-bin/text-idx?SID=b88ca2f4788926cd30f68d3de5a3fbec&amp;node=40:7.0.1.1.1.90&amp;rgn=div6" TargetMode="External"/><Relationship Id="rId180" Type="http://schemas.openxmlformats.org/officeDocument/2006/relationships/hyperlink" Target="http://www.ecfr.gov/cgi-bin/text-idx?SID=b88ca2f4788926cd30f68d3de5a3fbec&amp;node=40:7.0.1.1.1.90&amp;rgn=div6" TargetMode="External"/><Relationship Id="rId210" Type="http://schemas.openxmlformats.org/officeDocument/2006/relationships/hyperlink" Target="http://www.ecfr.gov/cgi-bin/text-idx?SID=b88ca2f4788926cd30f68d3de5a3fbec&amp;node=40:7.0.1.1.1.90&amp;rgn=div6" TargetMode="External"/><Relationship Id="rId215" Type="http://schemas.openxmlformats.org/officeDocument/2006/relationships/hyperlink" Target="http://www.ecfr.gov/cgi-bin/text-idx?SID=b88ca2f4788926cd30f68d3de5a3fbec&amp;node=40:7.0.1.1.1.90&amp;rgn=div6" TargetMode="External"/><Relationship Id="rId236" Type="http://schemas.openxmlformats.org/officeDocument/2006/relationships/hyperlink" Target="http://www.ecfr.gov/cgi-bin/text-idx?SID=b88ca2f4788926cd30f68d3de5a3fbec&amp;node=40:7.0.1.1.1.90&amp;rgn=div6" TargetMode="External"/><Relationship Id="rId26" Type="http://schemas.openxmlformats.org/officeDocument/2006/relationships/hyperlink" Target="http://www.ecfr.gov/cgi-bin/text-idx?SID=b88ca2f4788926cd30f68d3de5a3fbec&amp;node=40:7.0.1.1.1.90&amp;rgn=div6" TargetMode="External"/><Relationship Id="rId231" Type="http://schemas.openxmlformats.org/officeDocument/2006/relationships/hyperlink" Target="http://www.ecfr.gov/cgi-bin/text-idx?SID=b88ca2f4788926cd30f68d3de5a3fbec&amp;node=40:7.0.1.1.1.90&amp;rgn=div6" TargetMode="External"/><Relationship Id="rId47" Type="http://schemas.openxmlformats.org/officeDocument/2006/relationships/hyperlink" Target="http://www.ecfr.gov/cgi-bin/text-idx?SID=b88ca2f4788926cd30f68d3de5a3fbec&amp;node=40:7.0.1.1.1.90&amp;rgn=div6" TargetMode="External"/><Relationship Id="rId68" Type="http://schemas.openxmlformats.org/officeDocument/2006/relationships/hyperlink" Target="http://www.ecfr.gov/cgi-bin/text-idx?SID=b88ca2f4788926cd30f68d3de5a3fbec&amp;node=40:7.0.1.1.1.90&amp;rgn=div6" TargetMode="External"/><Relationship Id="rId89" Type="http://schemas.openxmlformats.org/officeDocument/2006/relationships/hyperlink" Target="http://www.ecfr.gov/cgi-bin/text-idx?SID=b88ca2f4788926cd30f68d3de5a3fbec&amp;node=40:7.0.1.1.1.90&amp;rgn=div6" TargetMode="External"/><Relationship Id="rId112" Type="http://schemas.openxmlformats.org/officeDocument/2006/relationships/hyperlink" Target="http://www.ecfr.gov/cgi-bin/text-idx?SID=b88ca2f4788926cd30f68d3de5a3fbec&amp;node=40:7.0.1.1.1.90&amp;rgn=div6" TargetMode="External"/><Relationship Id="rId133" Type="http://schemas.openxmlformats.org/officeDocument/2006/relationships/hyperlink" Target="http://www.ecfr.gov/cgi-bin/text-idx?SID=b88ca2f4788926cd30f68d3de5a3fbec&amp;node=40:7.0.1.1.1.90&amp;rgn=div6" TargetMode="External"/><Relationship Id="rId154" Type="http://schemas.openxmlformats.org/officeDocument/2006/relationships/hyperlink" Target="http://www.ecfr.gov/cgi-bin/text-idx?SID=b88ca2f4788926cd30f68d3de5a3fbec&amp;node=40:7.0.1.1.1.90&amp;rgn=div6" TargetMode="External"/><Relationship Id="rId175" Type="http://schemas.openxmlformats.org/officeDocument/2006/relationships/hyperlink" Target="http://www.ecfr.gov/cgi-bin/text-idx?SID=b88ca2f4788926cd30f68d3de5a3fbec&amp;node=40:7.0.1.1.1.90&amp;rgn=div6" TargetMode="External"/><Relationship Id="rId196" Type="http://schemas.openxmlformats.org/officeDocument/2006/relationships/hyperlink" Target="http://www.ecfr.gov/cgi-bin/text-idx?SID=b88ca2f4788926cd30f68d3de5a3fbec&amp;node=40:7.0.1.1.1.90&amp;rgn=div6" TargetMode="External"/><Relationship Id="rId200" Type="http://schemas.openxmlformats.org/officeDocument/2006/relationships/hyperlink" Target="http://www.ecfr.gov/cgi-bin/text-idx?SID=b88ca2f4788926cd30f68d3de5a3fbec&amp;node=40:7.0.1.1.1.90&amp;rgn=div6" TargetMode="External"/><Relationship Id="rId16" Type="http://schemas.openxmlformats.org/officeDocument/2006/relationships/hyperlink" Target="http://www.ecfr.gov/cgi-bin/text-idx?SID=b88ca2f4788926cd30f68d3de5a3fbec&amp;node=40:7.0.1.1.1.90&amp;rgn=div6" TargetMode="External"/><Relationship Id="rId221" Type="http://schemas.openxmlformats.org/officeDocument/2006/relationships/hyperlink" Target="http://www.ecfr.gov/cgi-bin/text-idx?SID=b88ca2f4788926cd30f68d3de5a3fbec&amp;node=40:7.0.1.1.1.90&amp;rgn=div6" TargetMode="External"/><Relationship Id="rId242" Type="http://schemas.openxmlformats.org/officeDocument/2006/relationships/hyperlink" Target="http://www.gpo.gov/etc/implinks.htm" TargetMode="External"/><Relationship Id="rId37" Type="http://schemas.openxmlformats.org/officeDocument/2006/relationships/hyperlink" Target="http://www.ecfr.gov/cgi-bin/text-idx?SID=b88ca2f4788926cd30f68d3de5a3fbec&amp;node=40:7.0.1.1.1.90&amp;rgn=div6" TargetMode="External"/><Relationship Id="rId58" Type="http://schemas.openxmlformats.org/officeDocument/2006/relationships/hyperlink" Target="http://www.ecfr.gov/cgi-bin/text-idx?SID=b88ca2f4788926cd30f68d3de5a3fbec&amp;node=40:7.0.1.1.1.90&amp;rgn=div6" TargetMode="External"/><Relationship Id="rId79" Type="http://schemas.openxmlformats.org/officeDocument/2006/relationships/hyperlink" Target="http://www.ecfr.gov/cgi-bin/text-idx?SID=b88ca2f4788926cd30f68d3de5a3fbec&amp;node=40:7.0.1.1.1.90&amp;rgn=div6" TargetMode="External"/><Relationship Id="rId102" Type="http://schemas.openxmlformats.org/officeDocument/2006/relationships/hyperlink" Target="http://www.ecfr.gov/cgi-bin/text-idx?SID=b88ca2f4788926cd30f68d3de5a3fbec&amp;node=40:7.0.1.1.1.90&amp;rgn=div6" TargetMode="External"/><Relationship Id="rId123" Type="http://schemas.openxmlformats.org/officeDocument/2006/relationships/hyperlink" Target="http://www.ecfr.gov/cgi-bin/text-idx?SID=b88ca2f4788926cd30f68d3de5a3fbec&amp;node=40:7.0.1.1.1.90&amp;rgn=div6" TargetMode="External"/><Relationship Id="rId144" Type="http://schemas.openxmlformats.org/officeDocument/2006/relationships/hyperlink" Target="http://www.ecfr.gov/cgi-bin/text-idx?SID=b88ca2f4788926cd30f68d3de5a3fbec&amp;node=40:7.0.1.1.1.90&amp;rgn=div6" TargetMode="External"/><Relationship Id="rId90" Type="http://schemas.openxmlformats.org/officeDocument/2006/relationships/hyperlink" Target="http://www.ecfr.gov/cgi-bin/text-idx?SID=b88ca2f4788926cd30f68d3de5a3fbec&amp;node=40:7.0.1.1.1.90&amp;rgn=div6" TargetMode="External"/><Relationship Id="rId165" Type="http://schemas.openxmlformats.org/officeDocument/2006/relationships/hyperlink" Target="http://www.ecfr.gov/cgi-bin/text-idx?SID=b88ca2f4788926cd30f68d3de5a3fbec&amp;node=40:7.0.1.1.1.90&amp;rgn=div6" TargetMode="External"/><Relationship Id="rId186" Type="http://schemas.openxmlformats.org/officeDocument/2006/relationships/hyperlink" Target="http://www.ecfr.gov/cgi-bin/text-idx?SID=b88ca2f4788926cd30f68d3de5a3fbec&amp;node=40:7.0.1.1.1.90&amp;rgn=div6" TargetMode="External"/><Relationship Id="rId211" Type="http://schemas.openxmlformats.org/officeDocument/2006/relationships/hyperlink" Target="http://www.ecfr.gov/cgi-bin/text-idx?SID=b88ca2f4788926cd30f68d3de5a3fbec&amp;node=40:7.0.1.1.1.90&amp;rgn=div6" TargetMode="External"/><Relationship Id="rId232" Type="http://schemas.openxmlformats.org/officeDocument/2006/relationships/hyperlink" Target="http://www.ecfr.gov/cgi-bin/text-idx?SID=b88ca2f4788926cd30f68d3de5a3fbec&amp;node=40:7.0.1.1.1.90&amp;rgn=div6" TargetMode="External"/><Relationship Id="rId27" Type="http://schemas.openxmlformats.org/officeDocument/2006/relationships/hyperlink" Target="http://www.ecfr.gov/cgi-bin/text-idx?SID=b88ca2f4788926cd30f68d3de5a3fbec&amp;node=40:7.0.1.1.1.90&amp;rgn=div6" TargetMode="External"/><Relationship Id="rId48" Type="http://schemas.openxmlformats.org/officeDocument/2006/relationships/hyperlink" Target="http://www.ecfr.gov/cgi-bin/text-idx?SID=b88ca2f4788926cd30f68d3de5a3fbec&amp;node=40:7.0.1.1.1.90&amp;rgn=div6" TargetMode="External"/><Relationship Id="rId69" Type="http://schemas.openxmlformats.org/officeDocument/2006/relationships/hyperlink" Target="http://www.ecfr.gov/cgi-bin/text-idx?SID=b88ca2f4788926cd30f68d3de5a3fbec&amp;node=40:7.0.1.1.1.90&amp;rgn=div6" TargetMode="External"/><Relationship Id="rId113" Type="http://schemas.openxmlformats.org/officeDocument/2006/relationships/hyperlink" Target="http://www.ecfr.gov/cgi-bin/text-idx?SID=b88ca2f4788926cd30f68d3de5a3fbec&amp;node=40:7.0.1.1.1.90&amp;rgn=div6" TargetMode="External"/><Relationship Id="rId134" Type="http://schemas.openxmlformats.org/officeDocument/2006/relationships/hyperlink" Target="http://www.ecfr.gov/cgi-bin/text-idx?SID=b88ca2f4788926cd30f68d3de5a3fbec&amp;node=40:7.0.1.1.1.90&amp;rgn=div6" TargetMode="External"/><Relationship Id="rId80" Type="http://schemas.openxmlformats.org/officeDocument/2006/relationships/hyperlink" Target="http://www.ecfr.gov/cgi-bin/text-idx?SID=b88ca2f4788926cd30f68d3de5a3fbec&amp;node=40:7.0.1.1.1.90&amp;rgn=div6" TargetMode="External"/><Relationship Id="rId155" Type="http://schemas.openxmlformats.org/officeDocument/2006/relationships/hyperlink" Target="http://www.ecfr.gov/cgi-bin/text-idx?SID=b88ca2f4788926cd30f68d3de5a3fbec&amp;node=40:7.0.1.1.1.90&amp;rgn=div6" TargetMode="External"/><Relationship Id="rId176" Type="http://schemas.openxmlformats.org/officeDocument/2006/relationships/hyperlink" Target="http://www.ecfr.gov/cgi-bin/text-idx?SID=b88ca2f4788926cd30f68d3de5a3fbec&amp;node=40:7.0.1.1.1.90&amp;rgn=div6" TargetMode="External"/><Relationship Id="rId197" Type="http://schemas.openxmlformats.org/officeDocument/2006/relationships/hyperlink" Target="http://www.ecfr.gov/cgi-bin/text-idx?SID=b88ca2f4788926cd30f68d3de5a3fbec&amp;node=40:7.0.1.1.1.90&amp;rgn=div6" TargetMode="External"/><Relationship Id="rId201" Type="http://schemas.openxmlformats.org/officeDocument/2006/relationships/hyperlink" Target="http://www.ecfr.gov/cgi-bin/text-idx?SID=b88ca2f4788926cd30f68d3de5a3fbec&amp;node=40:7.0.1.1.1.90&amp;rgn=div6" TargetMode="External"/><Relationship Id="rId222" Type="http://schemas.openxmlformats.org/officeDocument/2006/relationships/hyperlink" Target="http://www.ecfr.gov/cgi-bin/text-idx?SID=b88ca2f4788926cd30f68d3de5a3fbec&amp;node=40:7.0.1.1.1.90&amp;rgn=div6" TargetMode="External"/><Relationship Id="rId243" Type="http://schemas.openxmlformats.org/officeDocument/2006/relationships/hyperlink" Target="http://www.gpo.gov/etc/section-508.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57</Pages>
  <Words>23892</Words>
  <Characters>136187</Characters>
  <Application>Microsoft Office Word</Application>
  <DocSecurity>0</DocSecurity>
  <Lines>1134</Lines>
  <Paragraphs>319</Paragraphs>
  <ScaleCrop>false</ScaleCrop>
  <Company>Northeast District</Company>
  <LinksUpToDate>false</LinksUpToDate>
  <CharactersWithSpaces>159760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Yasmin Enriquez</cp:lastModifiedBy>
  <cp:revision>4</cp:revision>
  <dcterms:created xsi:type="dcterms:W3CDTF">2013-10-28T17:44:00Z</dcterms:created>
  <dcterms:modified xsi:type="dcterms:W3CDTF">2013-10-28T17:55:00Z</dcterms:modified>
</cp:coreProperties>
</file>